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4000000">
      <w:pPr>
        <w:pStyle w:val="Style_3"/>
        <w:ind/>
        <w:jc w:val="center"/>
        <w:rPr>
          <w:b w:val="1"/>
        </w:rPr>
      </w:pPr>
      <w:r>
        <w:rPr>
          <w:b w:val="1"/>
        </w:rPr>
        <w:t>Финансово-экономическое обоснование</w:t>
      </w:r>
    </w:p>
    <w:p w14:paraId="05000000">
      <w:pPr>
        <w:pStyle w:val="Style_4"/>
        <w:tabs>
          <w:tab w:leader="none" w:pos="720" w:val="left"/>
        </w:tabs>
        <w:ind w:firstLine="0" w:left="0"/>
        <w:jc w:val="center"/>
        <w:rPr>
          <w:b w:val="1"/>
          <w:sz w:val="28"/>
        </w:rPr>
      </w:pPr>
      <w:r>
        <w:rPr>
          <w:b w:val="1"/>
          <w:sz w:val="28"/>
        </w:rPr>
        <w:t xml:space="preserve">к проекту </w:t>
      </w:r>
      <w:r>
        <w:rPr>
          <w:b w:val="1"/>
          <w:sz w:val="28"/>
        </w:rPr>
        <w:t>о</w:t>
      </w:r>
      <w:r>
        <w:rPr>
          <w:b w:val="1"/>
          <w:sz w:val="28"/>
        </w:rPr>
        <w:t xml:space="preserve">бластного закона </w:t>
      </w:r>
    </w:p>
    <w:p w14:paraId="06000000">
      <w:pPr>
        <w:pStyle w:val="Style_4"/>
        <w:tabs>
          <w:tab w:leader="none" w:pos="720" w:val="left"/>
        </w:tabs>
        <w:ind w:firstLine="0" w:left="0"/>
        <w:jc w:val="center"/>
        <w:rPr>
          <w:b w:val="1"/>
          <w:sz w:val="28"/>
        </w:rPr>
      </w:pPr>
      <w:r>
        <w:rPr>
          <w:b w:val="1"/>
          <w:sz w:val="28"/>
        </w:rPr>
        <w:t xml:space="preserve">«О </w:t>
      </w:r>
      <w:r>
        <w:rPr>
          <w:b w:val="1"/>
          <w:sz w:val="28"/>
        </w:rPr>
        <w:t xml:space="preserve">внесении изменений в </w:t>
      </w:r>
      <w:r>
        <w:rPr>
          <w:b w:val="1"/>
          <w:sz w:val="28"/>
        </w:rPr>
        <w:t>статью 27 Областного закона «О социальном обслуживании граждан в Ростовской области»</w:t>
      </w:r>
      <w:r>
        <w:rPr>
          <w:b w:val="1"/>
          <w:sz w:val="28"/>
        </w:rPr>
        <w:t xml:space="preserve">  </w:t>
      </w:r>
    </w:p>
    <w:p w14:paraId="07000000">
      <w:pPr>
        <w:pStyle w:val="Style_4"/>
        <w:tabs>
          <w:tab w:leader="none" w:pos="720" w:val="left"/>
        </w:tabs>
        <w:ind w:firstLine="0" w:left="0"/>
        <w:jc w:val="center"/>
        <w:rPr>
          <w:b w:val="1"/>
          <w:sz w:val="28"/>
        </w:rPr>
      </w:pPr>
    </w:p>
    <w:p w14:paraId="08000000">
      <w:pPr>
        <w:tabs>
          <w:tab w:leader="none" w:pos="720" w:val="left"/>
        </w:tabs>
        <w:spacing w:after="0" w:line="228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Проект </w:t>
      </w:r>
      <w:r>
        <w:rPr>
          <w:rStyle w:val="Style_2_ch"/>
          <w:rFonts w:ascii="Times New Roman" w:hAnsi="Times New Roman"/>
          <w:sz w:val="28"/>
        </w:rPr>
        <w:t>о</w:t>
      </w:r>
      <w:r>
        <w:rPr>
          <w:rStyle w:val="Style_2_ch"/>
          <w:rFonts w:ascii="Times New Roman" w:hAnsi="Times New Roman"/>
          <w:sz w:val="28"/>
        </w:rPr>
        <w:t xml:space="preserve">бластного закона </w:t>
      </w:r>
      <w:r>
        <w:rPr>
          <w:rStyle w:val="Style_2_ch"/>
          <w:rFonts w:ascii="Times New Roman" w:hAnsi="Times New Roman"/>
          <w:sz w:val="28"/>
        </w:rPr>
        <w:t>«О</w:t>
      </w:r>
      <w:r>
        <w:rPr>
          <w:rStyle w:val="Style_2_ch"/>
          <w:rFonts w:ascii="Times New Roman" w:hAnsi="Times New Roman"/>
          <w:sz w:val="28"/>
        </w:rPr>
        <w:t xml:space="preserve"> внесении изменений в статью 27 Областного закона «О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>социальном обслуживании граждан в Ростовской области</w:t>
      </w:r>
      <w:r>
        <w:rPr>
          <w:rStyle w:val="Style_2_ch"/>
          <w:rFonts w:ascii="Times New Roman" w:hAnsi="Times New Roman"/>
          <w:sz w:val="28"/>
        </w:rPr>
        <w:t>»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 xml:space="preserve">(далее – законопроект) </w:t>
      </w:r>
      <w:r>
        <w:rPr>
          <w:rStyle w:val="Style_2_ch"/>
          <w:rFonts w:ascii="Times New Roman" w:hAnsi="Times New Roman"/>
          <w:sz w:val="28"/>
        </w:rPr>
        <w:t>подготовлен в целях перехода с 1 сентября 2024 года на электронную систему учета бесплатного проезда социаль</w:t>
      </w:r>
      <w:r>
        <w:rPr>
          <w:rStyle w:val="Style_2_ch"/>
          <w:rFonts w:ascii="Times New Roman" w:hAnsi="Times New Roman"/>
          <w:sz w:val="28"/>
        </w:rPr>
        <w:t>ных раб</w:t>
      </w:r>
      <w:r>
        <w:rPr>
          <w:rStyle w:val="Style_2_ch"/>
          <w:rFonts w:ascii="Times New Roman" w:hAnsi="Times New Roman"/>
          <w:sz w:val="28"/>
        </w:rPr>
        <w:t>отников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 xml:space="preserve">государственных организаций социального обслуживания Ростовской области и </w:t>
      </w:r>
      <w:r>
        <w:rPr>
          <w:rStyle w:val="Style_2_ch"/>
          <w:rFonts w:ascii="Times New Roman" w:hAnsi="Times New Roman"/>
          <w:sz w:val="28"/>
        </w:rPr>
        <w:t xml:space="preserve">муниципальных организаций социального обслуживания </w:t>
      </w:r>
      <w:r>
        <w:rPr>
          <w:rStyle w:val="Style_2_ch"/>
          <w:rFonts w:ascii="Times New Roman" w:hAnsi="Times New Roman"/>
          <w:sz w:val="28"/>
        </w:rPr>
        <w:t>(далее – социальные работники)</w:t>
      </w:r>
      <w:r>
        <w:rPr>
          <w:rStyle w:val="Style_2_ch"/>
          <w:rFonts w:ascii="Times New Roman" w:hAnsi="Times New Roman"/>
          <w:sz w:val="28"/>
        </w:rPr>
        <w:t>,</w:t>
      </w:r>
      <w:r>
        <w:rPr>
          <w:rStyle w:val="Style_2_ch"/>
          <w:rFonts w:ascii="Times New Roman" w:hAnsi="Times New Roman"/>
          <w:sz w:val="28"/>
        </w:rPr>
        <w:t xml:space="preserve"> осуществляющих свою</w:t>
      </w:r>
      <w:r>
        <w:rPr>
          <w:rStyle w:val="Style_2_ch"/>
          <w:rFonts w:ascii="Times New Roman" w:hAnsi="Times New Roman"/>
          <w:sz w:val="28"/>
        </w:rPr>
        <w:t xml:space="preserve"> профессиональную деятельность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 xml:space="preserve">в городских округах </w:t>
      </w:r>
      <w:r>
        <w:rPr>
          <w:rStyle w:val="Style_2_ch"/>
          <w:rFonts w:ascii="Times New Roman" w:hAnsi="Times New Roman"/>
          <w:sz w:val="28"/>
        </w:rPr>
        <w:t>Ростовской области</w:t>
      </w:r>
      <w:r>
        <w:rPr>
          <w:rStyle w:val="Style_2_ch"/>
          <w:rFonts w:ascii="Times New Roman" w:hAnsi="Times New Roman"/>
          <w:sz w:val="28"/>
        </w:rPr>
        <w:t>.</w:t>
      </w:r>
    </w:p>
    <w:p w14:paraId="09000000">
      <w:pPr>
        <w:tabs>
          <w:tab w:leader="none" w:pos="720" w:val="left"/>
        </w:tabs>
        <w:spacing w:after="0" w:line="228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В </w:t>
      </w:r>
      <w:r>
        <w:rPr>
          <w:rStyle w:val="Style_2_ch"/>
          <w:rFonts w:ascii="Times New Roman" w:hAnsi="Times New Roman"/>
          <w:sz w:val="28"/>
        </w:rPr>
        <w:t>соответствии с Областным законом от 03.09.2014 № 222-ЗС «О социальном обслуживании граждан в Ростовской области» социальным работникам, чья профессиональная деятельность связана с разъездами</w:t>
      </w:r>
      <w:r>
        <w:rPr>
          <w:rStyle w:val="Style_2_ch"/>
          <w:rFonts w:ascii="Times New Roman" w:hAnsi="Times New Roman"/>
          <w:sz w:val="28"/>
        </w:rPr>
        <w:t>,</w:t>
      </w:r>
      <w:r>
        <w:rPr>
          <w:rStyle w:val="Style_2_ch"/>
          <w:rFonts w:ascii="Times New Roman" w:hAnsi="Times New Roman"/>
          <w:sz w:val="28"/>
        </w:rPr>
        <w:t xml:space="preserve"> предусмотрена льгота в виде бесплатного проезда на всех видах общественного внутригородского (внутрирайонного) транспорта, пригородного автомобильного транспорта (кроме такси)</w:t>
      </w:r>
      <w:r>
        <w:rPr>
          <w:rStyle w:val="Style_2_ch"/>
          <w:rFonts w:ascii="Times New Roman" w:hAnsi="Times New Roman"/>
          <w:sz w:val="28"/>
        </w:rPr>
        <w:t>.</w:t>
      </w:r>
      <w:r>
        <w:rPr>
          <w:rStyle w:val="Style_2_ch"/>
          <w:rFonts w:ascii="Times New Roman" w:hAnsi="Times New Roman"/>
          <w:sz w:val="28"/>
        </w:rPr>
        <w:t xml:space="preserve"> </w:t>
      </w:r>
    </w:p>
    <w:p w14:paraId="0A000000">
      <w:pPr>
        <w:tabs>
          <w:tab w:leader="none" w:pos="720" w:val="left"/>
        </w:tabs>
        <w:spacing w:after="0" w:line="228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Социальным работникам, проживающим в городе Ростове-на-Дону, данная льгота предоставляется в виде ежемесячной денежной выплаты в размере 414,0 руб., социальным работникам, проживающим </w:t>
      </w:r>
      <w:r>
        <w:rPr>
          <w:rStyle w:val="Style_2_ch"/>
          <w:rFonts w:ascii="Times New Roman" w:hAnsi="Times New Roman"/>
          <w:sz w:val="28"/>
        </w:rPr>
        <w:t>во всех остальных муниципалитетах области, предоставляется бесплатный проезд на основании бумажного единого проездного талона.</w:t>
      </w:r>
    </w:p>
    <w:p w14:paraId="0B000000">
      <w:pPr>
        <w:tabs>
          <w:tab w:leader="none" w:pos="720" w:val="left"/>
        </w:tabs>
        <w:spacing w:after="0" w:line="228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>Возмещение транспортным предприятиям расходов на предоставление бесплатного проезда социальным работникам осуществляется на основании заключенных договоро</w:t>
      </w:r>
      <w:r>
        <w:rPr>
          <w:rStyle w:val="Style_2_ch"/>
          <w:rFonts w:ascii="Times New Roman" w:hAnsi="Times New Roman"/>
          <w:sz w:val="28"/>
        </w:rPr>
        <w:t>в и сведений о количестве выданных единых проездных талонов, но не более 265,0 руб. в месяц за каждого социального работника, получившего единый проездной талон.</w:t>
      </w:r>
    </w:p>
    <w:p w14:paraId="0C000000">
      <w:pPr>
        <w:tabs>
          <w:tab w:leader="none" w:pos="720" w:val="left"/>
        </w:tabs>
        <w:spacing w:after="0" w:line="228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Объем расходов </w:t>
      </w:r>
      <w:r>
        <w:rPr>
          <w:rStyle w:val="Style_2_ch"/>
          <w:rFonts w:ascii="Times New Roman" w:hAnsi="Times New Roman"/>
          <w:sz w:val="28"/>
        </w:rPr>
        <w:t xml:space="preserve">областного бюджета </w:t>
      </w:r>
      <w:r>
        <w:rPr>
          <w:rStyle w:val="Style_2_ch"/>
          <w:rFonts w:ascii="Times New Roman" w:hAnsi="Times New Roman"/>
          <w:sz w:val="28"/>
        </w:rPr>
        <w:t>на осуществление государственных полномочий в сфере социального обслуживания</w:t>
      </w:r>
      <w:r>
        <w:rPr>
          <w:rStyle w:val="Style_2_ch"/>
          <w:rFonts w:ascii="Times New Roman" w:hAnsi="Times New Roman"/>
          <w:sz w:val="28"/>
        </w:rPr>
        <w:t xml:space="preserve"> осуществляется за счет соответствующей субвенции.</w:t>
      </w:r>
    </w:p>
    <w:p w14:paraId="0D000000">
      <w:pPr>
        <w:tabs>
          <w:tab w:leader="none" w:pos="720" w:val="left"/>
        </w:tabs>
        <w:spacing w:after="0" w:line="228" w:lineRule="auto"/>
        <w:ind w:firstLine="709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На 2024 год в </w:t>
      </w:r>
      <w:r>
        <w:rPr>
          <w:rStyle w:val="Style_2_ch"/>
          <w:rFonts w:ascii="Times New Roman" w:hAnsi="Times New Roman"/>
          <w:sz w:val="28"/>
        </w:rPr>
        <w:t>областном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 xml:space="preserve">бюджете на эти цели </w:t>
      </w:r>
      <w:r>
        <w:rPr>
          <w:rStyle w:val="Style_2_ch"/>
          <w:rFonts w:ascii="Times New Roman" w:hAnsi="Times New Roman"/>
          <w:sz w:val="28"/>
        </w:rPr>
        <w:t>предусмотрено 2</w:t>
      </w:r>
      <w:r>
        <w:rPr>
          <w:rStyle w:val="Style_2_ch"/>
          <w:rFonts w:ascii="Times New Roman" w:hAnsi="Times New Roman"/>
          <w:sz w:val="28"/>
        </w:rPr>
        <w:t>0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154,7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тыс.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руб.</w:t>
      </w:r>
      <w:r>
        <w:rPr>
          <w:rStyle w:val="Style_2_ch"/>
          <w:rFonts w:ascii="Times New Roman" w:hAnsi="Times New Roman"/>
          <w:sz w:val="28"/>
        </w:rPr>
        <w:t xml:space="preserve">, на 2025 год – </w:t>
      </w:r>
      <w:r>
        <w:rPr>
          <w:rStyle w:val="Style_2_ch"/>
          <w:rFonts w:ascii="Times New Roman" w:hAnsi="Times New Roman"/>
          <w:sz w:val="28"/>
        </w:rPr>
        <w:t>2</w:t>
      </w:r>
      <w:r>
        <w:rPr>
          <w:rStyle w:val="Style_2_ch"/>
          <w:rFonts w:ascii="Times New Roman" w:hAnsi="Times New Roman"/>
          <w:sz w:val="28"/>
        </w:rPr>
        <w:t xml:space="preserve">0 </w:t>
      </w:r>
      <w:r>
        <w:rPr>
          <w:rStyle w:val="Style_2_ch"/>
          <w:rFonts w:ascii="Times New Roman" w:hAnsi="Times New Roman"/>
          <w:sz w:val="28"/>
        </w:rPr>
        <w:t>154,7</w:t>
      </w:r>
      <w:r>
        <w:rPr>
          <w:rStyle w:val="Style_2_ch"/>
          <w:rFonts w:ascii="Times New Roman" w:hAnsi="Times New Roman"/>
          <w:sz w:val="28"/>
        </w:rPr>
        <w:t xml:space="preserve"> тыс. руб.,</w:t>
      </w:r>
      <w:r>
        <w:rPr>
          <w:rStyle w:val="Style_2_ch"/>
          <w:rFonts w:ascii="Times New Roman" w:hAnsi="Times New Roman"/>
          <w:sz w:val="28"/>
        </w:rPr>
        <w:t xml:space="preserve"> на 2026 год – </w:t>
      </w:r>
      <w:r>
        <w:rPr>
          <w:rStyle w:val="Style_2_ch"/>
          <w:rFonts w:ascii="Times New Roman" w:hAnsi="Times New Roman"/>
          <w:sz w:val="28"/>
        </w:rPr>
        <w:t>2</w:t>
      </w:r>
      <w:r>
        <w:rPr>
          <w:rStyle w:val="Style_2_ch"/>
          <w:rFonts w:ascii="Times New Roman" w:hAnsi="Times New Roman"/>
          <w:sz w:val="28"/>
        </w:rPr>
        <w:t>0 154,7</w:t>
      </w:r>
      <w:r>
        <w:rPr>
          <w:rStyle w:val="Style_2_ch"/>
          <w:rFonts w:ascii="Times New Roman" w:hAnsi="Times New Roman"/>
          <w:sz w:val="28"/>
        </w:rPr>
        <w:t xml:space="preserve"> тыс. руб.</w:t>
      </w:r>
    </w:p>
    <w:p w14:paraId="0E000000">
      <w:pPr>
        <w:spacing w:after="0" w:line="228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В связи с принятием законопроекта </w:t>
      </w:r>
      <w:r>
        <w:rPr>
          <w:rStyle w:val="Style_2_ch"/>
          <w:rFonts w:ascii="Times New Roman" w:hAnsi="Times New Roman"/>
          <w:sz w:val="28"/>
        </w:rPr>
        <w:t xml:space="preserve">потребуется </w:t>
      </w:r>
      <w:r>
        <w:rPr>
          <w:rStyle w:val="Style_2_ch"/>
          <w:rFonts w:ascii="Times New Roman" w:hAnsi="Times New Roman"/>
          <w:sz w:val="28"/>
        </w:rPr>
        <w:t>в</w:t>
      </w:r>
      <w:r>
        <w:rPr>
          <w:rStyle w:val="Style_2_ch"/>
          <w:rFonts w:ascii="Times New Roman" w:hAnsi="Times New Roman"/>
          <w:sz w:val="28"/>
        </w:rPr>
        <w:t>ыделение дополнительных средств област</w:t>
      </w:r>
      <w:r>
        <w:rPr>
          <w:rStyle w:val="Style_2_ch"/>
          <w:rFonts w:ascii="Times New Roman" w:hAnsi="Times New Roman"/>
          <w:sz w:val="28"/>
        </w:rPr>
        <w:t xml:space="preserve">ного бюджета </w:t>
      </w:r>
      <w:r>
        <w:rPr>
          <w:rStyle w:val="Style_2_ch"/>
          <w:rFonts w:ascii="Times New Roman" w:hAnsi="Times New Roman"/>
          <w:sz w:val="28"/>
        </w:rPr>
        <w:t xml:space="preserve">в объеме </w:t>
      </w:r>
      <w:r>
        <w:rPr>
          <w:rStyle w:val="Style_2_ch"/>
          <w:rFonts w:ascii="Times New Roman" w:hAnsi="Times New Roman"/>
          <w:sz w:val="28"/>
        </w:rPr>
        <w:t>на 20</w:t>
      </w:r>
      <w:r>
        <w:rPr>
          <w:rStyle w:val="Style_2_ch"/>
          <w:rFonts w:ascii="Times New Roman" w:hAnsi="Times New Roman"/>
          <w:sz w:val="28"/>
        </w:rPr>
        <w:t>24 год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>13 653,6</w:t>
      </w:r>
      <w:r>
        <w:rPr>
          <w:rStyle w:val="Style_2_ch"/>
          <w:rFonts w:ascii="Times New Roman" w:hAnsi="Times New Roman"/>
          <w:sz w:val="28"/>
        </w:rPr>
        <w:t xml:space="preserve"> тыс.</w:t>
      </w:r>
      <w:r>
        <w:rPr>
          <w:rStyle w:val="Style_2_ch"/>
          <w:rFonts w:ascii="Times New Roman" w:hAnsi="Times New Roman"/>
          <w:sz w:val="28"/>
        </w:rPr>
        <w:t xml:space="preserve"> руб., на 2025 год </w:t>
      </w:r>
      <w:r>
        <w:rPr>
          <w:rStyle w:val="Style_2_ch"/>
          <w:rFonts w:ascii="Times New Roman" w:hAnsi="Times New Roman"/>
          <w:sz w:val="28"/>
        </w:rPr>
        <w:t>–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>54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614,4</w:t>
      </w:r>
      <w:r>
        <w:rPr>
          <w:rStyle w:val="Style_2_ch"/>
          <w:rFonts w:ascii="Times New Roman" w:hAnsi="Times New Roman"/>
          <w:sz w:val="28"/>
        </w:rPr>
        <w:t xml:space="preserve"> тыс.</w:t>
      </w:r>
      <w:r>
        <w:rPr>
          <w:rStyle w:val="Style_2_ch"/>
          <w:rFonts w:ascii="Times New Roman" w:hAnsi="Times New Roman"/>
          <w:sz w:val="28"/>
        </w:rPr>
        <w:t xml:space="preserve"> руб., на 2026 год </w:t>
      </w:r>
      <w:r>
        <w:rPr>
          <w:rStyle w:val="Style_2_ch"/>
          <w:rFonts w:ascii="Times New Roman" w:hAnsi="Times New Roman"/>
          <w:sz w:val="28"/>
        </w:rPr>
        <w:t>–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>54 614,4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>тыс.</w:t>
      </w:r>
      <w:r>
        <w:rPr>
          <w:rStyle w:val="Style_2_ch"/>
          <w:rFonts w:ascii="Times New Roman" w:hAnsi="Times New Roman"/>
          <w:sz w:val="28"/>
        </w:rPr>
        <w:t xml:space="preserve"> </w:t>
      </w:r>
      <w:r>
        <w:rPr>
          <w:rStyle w:val="Style_2_ch"/>
          <w:rFonts w:ascii="Times New Roman" w:hAnsi="Times New Roman"/>
          <w:sz w:val="28"/>
        </w:rPr>
        <w:t>руб.</w:t>
      </w:r>
    </w:p>
    <w:p w14:paraId="0F000000">
      <w:pPr>
        <w:spacing w:after="0" w:line="228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>Объем расходов областного бюджета определен исходя из следующих значений:</w:t>
      </w:r>
    </w:p>
    <w:p w14:paraId="10000000">
      <w:pPr>
        <w:spacing w:after="0" w:line="228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фактической численности </w:t>
      </w:r>
      <w:r>
        <w:rPr>
          <w:rStyle w:val="Style_2_ch"/>
          <w:rFonts w:ascii="Times New Roman" w:hAnsi="Times New Roman"/>
          <w:sz w:val="28"/>
        </w:rPr>
        <w:t xml:space="preserve">социальных работников городских округов, </w:t>
      </w:r>
      <w:r>
        <w:rPr>
          <w:rStyle w:val="Style_2_ch"/>
          <w:rFonts w:ascii="Times New Roman" w:hAnsi="Times New Roman"/>
          <w:sz w:val="28"/>
        </w:rPr>
        <w:t>чья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профессиональная деятельность связана с разъездами</w:t>
      </w:r>
      <w:r>
        <w:rPr>
          <w:rStyle w:val="Style_2_ch"/>
          <w:rFonts w:ascii="Times New Roman" w:hAnsi="Times New Roman"/>
          <w:sz w:val="28"/>
        </w:rPr>
        <w:t xml:space="preserve"> –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2</w:t>
      </w:r>
      <w:r>
        <w:rPr>
          <w:rFonts w:ascii="Times New Roman" w:hAnsi="Times New Roman"/>
          <w:color w:val="000000"/>
          <w:spacing w:val="0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205</w:t>
      </w:r>
      <w:r>
        <w:rPr>
          <w:rStyle w:val="Style_2_ch"/>
          <w:rFonts w:ascii="Times New Roman" w:hAnsi="Times New Roman"/>
          <w:sz w:val="28"/>
        </w:rPr>
        <w:t xml:space="preserve"> чел.;</w:t>
      </w:r>
    </w:p>
    <w:p w14:paraId="11000000">
      <w:pPr>
        <w:spacing w:after="0" w:line="228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средневзвешенного </w:t>
      </w:r>
      <w:r>
        <w:rPr>
          <w:rStyle w:val="Style_2_ch"/>
          <w:rFonts w:ascii="Times New Roman" w:hAnsi="Times New Roman"/>
          <w:sz w:val="28"/>
        </w:rPr>
        <w:t>количества дней, в которых совершают поездки социальные работники;</w:t>
      </w:r>
    </w:p>
    <w:p w14:paraId="12000000">
      <w:pPr>
        <w:spacing w:after="0" w:line="228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фактического и среднего количества </w:t>
      </w:r>
      <w:r>
        <w:rPr>
          <w:rStyle w:val="Style_2_ch"/>
          <w:rFonts w:ascii="Times New Roman" w:hAnsi="Times New Roman"/>
          <w:sz w:val="28"/>
        </w:rPr>
        <w:t>совершаемых в рабочий день поездок социальных работников на городских и</w:t>
      </w:r>
      <w:r>
        <w:rPr>
          <w:rStyle w:val="Style_2_ch"/>
          <w:rFonts w:ascii="Times New Roman" w:hAnsi="Times New Roman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внутрирайонных марш</w:t>
      </w:r>
      <w:r>
        <w:rPr>
          <w:rStyle w:val="Style_2_ch"/>
          <w:rFonts w:ascii="Times New Roman" w:hAnsi="Times New Roman"/>
          <w:sz w:val="28"/>
        </w:rPr>
        <w:t>рутах по</w:t>
      </w:r>
      <w:r>
        <w:rPr>
          <w:rStyle w:val="Style_2_ch"/>
          <w:rFonts w:ascii="Times New Roman" w:hAnsi="Times New Roman"/>
          <w:sz w:val="28"/>
        </w:rPr>
        <w:t xml:space="preserve"> городским округам </w:t>
      </w:r>
      <w:r>
        <w:rPr>
          <w:rStyle w:val="Style_2_ch"/>
          <w:rFonts w:ascii="Times New Roman" w:hAnsi="Times New Roman"/>
          <w:sz w:val="28"/>
        </w:rPr>
        <w:t>(расчет среднего количества поездок осуществлен на основании сведений о</w:t>
      </w:r>
      <w:r>
        <w:rPr>
          <w:rStyle w:val="Style_2_ch"/>
          <w:rFonts w:ascii="Times New Roman" w:hAnsi="Times New Roman"/>
          <w:sz w:val="28"/>
        </w:rPr>
        <w:t xml:space="preserve">рганов </w:t>
      </w:r>
      <w:r>
        <w:rPr>
          <w:rStyle w:val="Style_2_ch"/>
          <w:rFonts w:ascii="Times New Roman" w:hAnsi="Times New Roman"/>
          <w:sz w:val="28"/>
        </w:rPr>
        <w:t xml:space="preserve">социальной защиты населения </w:t>
      </w:r>
      <w:r>
        <w:rPr>
          <w:rStyle w:val="Style_2_ch"/>
          <w:rFonts w:ascii="Times New Roman" w:hAnsi="Times New Roman"/>
          <w:sz w:val="28"/>
        </w:rPr>
        <w:t>муниципальных образований Ростовской области)</w:t>
      </w:r>
      <w:r>
        <w:rPr>
          <w:rStyle w:val="Style_2_ch"/>
          <w:rFonts w:ascii="Times New Roman" w:hAnsi="Times New Roman"/>
          <w:sz w:val="28"/>
        </w:rPr>
        <w:t>;</w:t>
      </w:r>
    </w:p>
    <w:p w14:paraId="13000000">
      <w:pPr>
        <w:spacing w:after="0" w:line="228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 xml:space="preserve">средней стоимости проезда в разрезе </w:t>
      </w:r>
      <w:r>
        <w:rPr>
          <w:rStyle w:val="Style_2_ch"/>
          <w:rFonts w:ascii="Times New Roman" w:hAnsi="Times New Roman"/>
          <w:sz w:val="28"/>
        </w:rPr>
        <w:t>городских округов.</w:t>
      </w:r>
    </w:p>
    <w:p w14:paraId="14000000">
      <w:pPr>
        <w:spacing w:after="0" w:line="228" w:lineRule="auto"/>
        <w:ind w:firstLine="708" w:left="0"/>
        <w:jc w:val="both"/>
        <w:rPr>
          <w:rFonts w:ascii="Times New Roman" w:hAnsi="Times New Roman"/>
          <w:sz w:val="28"/>
        </w:rPr>
      </w:pPr>
      <w:r>
        <w:rPr>
          <w:rStyle w:val="Style_2_ch"/>
          <w:rFonts w:ascii="Times New Roman" w:hAnsi="Times New Roman"/>
          <w:sz w:val="28"/>
        </w:rPr>
        <w:t>Объём дополнительных средств областного бюджет</w:t>
      </w:r>
      <w:r>
        <w:rPr>
          <w:rStyle w:val="Style_2_ch"/>
          <w:rFonts w:ascii="Times New Roman" w:hAnsi="Times New Roman"/>
          <w:sz w:val="28"/>
        </w:rPr>
        <w:t xml:space="preserve">а будет покрыт </w:t>
      </w:r>
      <w:r>
        <w:rPr>
          <w:rStyle w:val="Style_2_ch"/>
          <w:rFonts w:ascii="Times New Roman" w:hAnsi="Times New Roman"/>
          <w:sz w:val="28"/>
        </w:rPr>
        <w:t xml:space="preserve">за счет </w:t>
      </w:r>
      <w:r>
        <w:rPr>
          <w:rStyle w:val="Style_2_ch"/>
          <w:rFonts w:ascii="Times New Roman" w:hAnsi="Times New Roman"/>
          <w:sz w:val="28"/>
        </w:rPr>
        <w:t xml:space="preserve"> экономии, сложившейся у министерства </w:t>
      </w:r>
      <w:r>
        <w:rPr>
          <w:rFonts w:ascii="Times New Roman" w:hAnsi="Times New Roman"/>
          <w:b w:val="0"/>
          <w:sz w:val="28"/>
        </w:rPr>
        <w:t>труда и социального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развития Ростовской области</w:t>
      </w:r>
      <w:r>
        <w:rPr>
          <w:rStyle w:val="Style_2_ch"/>
          <w:rFonts w:ascii="Times New Roman" w:hAnsi="Times New Roman"/>
          <w:sz w:val="28"/>
        </w:rPr>
        <w:t xml:space="preserve"> области по субвенции на </w:t>
      </w:r>
      <w:r>
        <w:rPr>
          <w:rStyle w:val="Style_2_ch"/>
          <w:rFonts w:ascii="Times New Roman" w:hAnsi="Times New Roman"/>
          <w:sz w:val="28"/>
        </w:rPr>
        <w:t>предоставление субсидии на оплату жилого помещения и</w:t>
      </w:r>
      <w:r>
        <w:rPr>
          <w:rStyle w:val="Style_2_ch"/>
          <w:rFonts w:ascii="Times New Roman" w:hAnsi="Times New Roman"/>
          <w:sz w:val="28"/>
        </w:rPr>
        <w:t> </w:t>
      </w:r>
      <w:r>
        <w:rPr>
          <w:rStyle w:val="Style_2_ch"/>
          <w:rFonts w:ascii="Times New Roman" w:hAnsi="Times New Roman"/>
          <w:sz w:val="28"/>
        </w:rPr>
        <w:t>коммунальных услуг.</w:t>
      </w:r>
    </w:p>
    <w:p w14:paraId="15000000">
      <w:pPr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</w:p>
    <w:p w14:paraId="16000000">
      <w:pPr>
        <w:spacing w:after="0" w:line="240" w:lineRule="auto"/>
        <w:ind w:firstLine="708" w:left="0"/>
        <w:jc w:val="both"/>
        <w:rPr>
          <w:rFonts w:ascii="Times New Roman" w:hAnsi="Times New Roman"/>
          <w:sz w:val="28"/>
        </w:rPr>
      </w:pPr>
    </w:p>
    <w:p w14:paraId="17000000">
      <w:pPr>
        <w:pStyle w:val="Style_5"/>
        <w:widowControl w:val="1"/>
        <w:ind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 М</w:t>
      </w:r>
      <w:r>
        <w:rPr>
          <w:rFonts w:ascii="Times New Roman" w:hAnsi="Times New Roman"/>
          <w:b w:val="0"/>
          <w:sz w:val="28"/>
        </w:rPr>
        <w:t>инистр</w:t>
      </w:r>
      <w:r>
        <w:rPr>
          <w:rFonts w:ascii="Times New Roman" w:hAnsi="Times New Roman"/>
          <w:b w:val="0"/>
          <w:sz w:val="28"/>
        </w:rPr>
        <w:t xml:space="preserve"> труда и социального</w:t>
      </w:r>
    </w:p>
    <w:p w14:paraId="18000000">
      <w:pPr>
        <w:spacing w:after="0" w:line="240" w:lineRule="auto"/>
        <w:ind/>
        <w:jc w:val="both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развития Ростовской области                                         </w:t>
      </w: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      </w:t>
      </w:r>
      <w:r>
        <w:rPr>
          <w:rFonts w:ascii="Times New Roman" w:hAnsi="Times New Roman"/>
          <w:sz w:val="28"/>
        </w:rPr>
        <w:t xml:space="preserve">                 </w:t>
      </w:r>
      <w:r>
        <w:rPr>
          <w:rFonts w:ascii="Times New Roman" w:hAnsi="Times New Roman"/>
          <w:sz w:val="28"/>
        </w:rPr>
        <w:t xml:space="preserve"> И.Н. Шувалова</w:t>
      </w:r>
    </w:p>
    <w:sectPr>
      <w:headerReference r:id="rId1" w:type="default"/>
      <w:footerReference r:id="rId2" w:type="first"/>
      <w:pgSz w:h="16838" w:orient="portrait" w:w="11906"/>
      <w:pgMar w:bottom="963" w:footer="709" w:gutter="0" w:header="709" w:left="1134" w:right="567" w:top="851"/>
      <w:pgNumType w:fmt="decimal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center"/>
    </w:pPr>
    <w:r>
      <mc:AlternateContent>
        <mc:Choice Requires="wps">
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>
            <wp:anchor allowOverlap="true" behindDoc="false" layoutInCell="true" locked="false" relativeHeight="251658240" simplePos="false">
              <wp:simplePos x="0" y="0"/>
              <wp:positionH relativeFrom="insideMargin">
                <wp:align>center</wp:align>
              </wp:positionH>
              <wp:positionV relativeFrom="paragraph">
                <wp:posOffset>0</wp:posOffset>
              </wp:positionV>
              <wp:extent cx="0" cy="0"/>
              <wp:wrapSquare wrapText="bothSides"/>
              <wp:docPr hidden="false" id="1" name="Picture 1"/>
              <a:graphic>
                <a:graphicData uri="http://schemas.microsoft.com/office/word/2010/wordprocessingShape">
                  <wps:wsp>
                    <wps:cNvSpPr txBox="true"/>
                    <wps:spPr>
                      <a:xfrm flipH="false" flipV="false" rot="0">
                        <a:off x="0" y="0"/>
                        <a:ext cx="0" cy="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2000000">
                          <w:pPr>
                            <w:pStyle w:val="Style_2"/>
                            <w:rPr>
                              <w:rFonts w:ascii="Calibri" w:hAnsi="Calibri"/>
                              <w:color w:val="000000"/>
                              <w:spacing w:val="0"/>
                            </w:rPr>
                          </w:pPr>
                          <w:r>
                            <w:rPr>
                              <w:rFonts w:ascii="Calibri" w:hAnsi="Calibri"/>
                              <w:color w:val="000000"/>
                              <w:spacing w:val="0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/>
                              <w:color w:val="000000"/>
                              <w:spacing w:val="0"/>
                            </w:rPr>
                            <w:instrText>PAGE \* Arabic</w:instrText>
                          </w:r>
                          <w:r>
                            <w:rPr>
                              <w:rFonts w:ascii="Calibri" w:hAnsi="Calibri"/>
                              <w:color w:val="000000"/>
                              <w:spacing w:val="0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/>
                              <w:color w:val="000000"/>
                              <w:spacing w:val="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00"/>
                              <w:spacing w:val="0"/>
                            </w:rPr>
                            <w:fldChar w:fldCharType="end"/>
                          </w:r>
                        </w:p>
                      </w:txbxContent>
                    </wps:txbx>
                    <wps:bodyPr anchor="ctr" anchorCtr="true" bIns="45720" lIns="91440" rIns="91440" tIns="45720" vert="horz" wrap="square">
                      <a:spAutoFit/>
                    </wps:bodyPr>
                  </wps:wsp>
                </a:graphicData>
              </a:graphic>
            </wp:anchor>
          </w:drawing>
        </mc:Choice>
        <mc:Fallback>
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/>
        </mc:Fallback>
      </mc:AlternateContent>
    </w: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pPr>
      <w:spacing w:after="200" w:line="276" w:lineRule="auto"/>
      <w:ind/>
    </w:pPr>
    <w:rPr>
      <w:sz w:val="22"/>
    </w:rPr>
  </w:style>
  <w:style w:default="1" w:styleId="Style_2_ch" w:type="character">
    <w:name w:val="Normal"/>
    <w:link w:val="Style_2"/>
    <w:rPr>
      <w:sz w:val="22"/>
    </w:rPr>
  </w:style>
  <w:style w:styleId="Style_6" w:type="paragraph">
    <w:name w:val="toc 2"/>
    <w:next w:val="Style_2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2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4" w:type="paragraph">
    <w:name w:val="Body Text Indent 2"/>
    <w:basedOn w:val="Style_2"/>
    <w:link w:val="Style_4_ch"/>
    <w:pPr>
      <w:spacing w:after="0" w:line="240" w:lineRule="auto"/>
      <w:ind w:firstLine="3402" w:left="0"/>
      <w:jc w:val="both"/>
    </w:pPr>
    <w:rPr>
      <w:rFonts w:ascii="Times New Roman" w:hAnsi="Times New Roman"/>
      <w:sz w:val="24"/>
    </w:rPr>
  </w:style>
  <w:style w:styleId="Style_4_ch" w:type="character">
    <w:name w:val="Body Text Indent 2"/>
    <w:basedOn w:val="Style_2_ch"/>
    <w:link w:val="Style_4"/>
    <w:rPr>
      <w:rFonts w:ascii="Times New Roman" w:hAnsi="Times New Roman"/>
      <w:sz w:val="24"/>
    </w:rPr>
  </w:style>
  <w:style w:styleId="Style_8" w:type="paragraph">
    <w:name w:val="toc 6"/>
    <w:next w:val="Style_2"/>
    <w:link w:val="Style_8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2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Endnote"/>
    <w:link w:val="Style_10_ch"/>
    <w:pPr>
      <w:ind w:firstLine="851" w:left="0"/>
      <w:jc w:val="both"/>
    </w:pPr>
    <w:rPr>
      <w:rFonts w:ascii="XO Thames" w:hAnsi="XO Thames"/>
      <w:sz w:val="22"/>
    </w:rPr>
  </w:style>
  <w:style w:styleId="Style_10_ch" w:type="character">
    <w:name w:val="Endnote"/>
    <w:link w:val="Style_10"/>
    <w:rPr>
      <w:rFonts w:ascii="XO Thames" w:hAnsi="XO Thames"/>
      <w:sz w:val="22"/>
    </w:rPr>
  </w:style>
  <w:style w:styleId="Style_11" w:type="paragraph">
    <w:name w:val="heading 3"/>
    <w:next w:val="Style_2"/>
    <w:link w:val="Style_11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1_ch" w:type="character">
    <w:name w:val="heading 3"/>
    <w:link w:val="Style_11"/>
    <w:rPr>
      <w:rFonts w:ascii="XO Thames" w:hAnsi="XO Thames"/>
      <w:b w:val="1"/>
      <w:sz w:val="26"/>
    </w:rPr>
  </w:style>
  <w:style w:styleId="Style_3" w:type="paragraph">
    <w:name w:val="Основной текст с отступом 21"/>
    <w:basedOn w:val="Style_2"/>
    <w:link w:val="Style_3_ch"/>
    <w:pPr>
      <w:spacing w:after="0" w:line="240" w:lineRule="auto"/>
      <w:ind w:firstLine="709" w:left="0"/>
      <w:jc w:val="both"/>
    </w:pPr>
    <w:rPr>
      <w:rFonts w:ascii="Times New Roman" w:hAnsi="Times New Roman"/>
      <w:sz w:val="28"/>
    </w:rPr>
  </w:style>
  <w:style w:styleId="Style_3_ch" w:type="character">
    <w:name w:val="Основной текст с отступом 21"/>
    <w:basedOn w:val="Style_2_ch"/>
    <w:link w:val="Style_3"/>
    <w:rPr>
      <w:rFonts w:ascii="Times New Roman" w:hAnsi="Times New Roman"/>
      <w:sz w:val="28"/>
    </w:rPr>
  </w:style>
  <w:style w:styleId="Style_12" w:type="paragraph">
    <w:name w:val="ConsPlusNormal"/>
    <w:link w:val="Style_12_ch"/>
    <w:rPr>
      <w:rFonts w:ascii="Arial" w:hAnsi="Arial"/>
    </w:rPr>
  </w:style>
  <w:style w:styleId="Style_12_ch" w:type="character">
    <w:name w:val="ConsPlusNormal"/>
    <w:link w:val="Style_12"/>
    <w:rPr>
      <w:rFonts w:ascii="Arial" w:hAnsi="Arial"/>
    </w:rPr>
  </w:style>
  <w:style w:styleId="Style_13" w:type="paragraph">
    <w:name w:val="header"/>
    <w:basedOn w:val="Style_2"/>
    <w:link w:val="Style_13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rFonts w:ascii="Times New Roman" w:hAnsi="Times New Roman"/>
      <w:sz w:val="24"/>
    </w:rPr>
  </w:style>
  <w:style w:styleId="Style_13_ch" w:type="character">
    <w:name w:val="header"/>
    <w:basedOn w:val="Style_2_ch"/>
    <w:link w:val="Style_13"/>
    <w:rPr>
      <w:rFonts w:ascii="Times New Roman" w:hAnsi="Times New Roman"/>
      <w:sz w:val="24"/>
    </w:rPr>
  </w:style>
  <w:style w:styleId="Style_14" w:type="paragraph">
    <w:name w:val="toc 3"/>
    <w:next w:val="Style_2"/>
    <w:link w:val="Style_14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4_ch" w:type="character">
    <w:name w:val="toc 3"/>
    <w:link w:val="Style_14"/>
    <w:rPr>
      <w:rFonts w:ascii="XO Thames" w:hAnsi="XO Thames"/>
      <w:sz w:val="28"/>
    </w:rPr>
  </w:style>
  <w:style w:styleId="Style_15" w:type="paragraph">
    <w:name w:val="heading 5"/>
    <w:next w:val="Style_2"/>
    <w:link w:val="Style_15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5_ch" w:type="character">
    <w:name w:val="heading 5"/>
    <w:link w:val="Style_15"/>
    <w:rPr>
      <w:rFonts w:ascii="XO Thames" w:hAnsi="XO Thames"/>
      <w:b w:val="1"/>
      <w:sz w:val="22"/>
    </w:rPr>
  </w:style>
  <w:style w:styleId="Style_16" w:type="paragraph">
    <w:name w:val="heading 1"/>
    <w:next w:val="Style_2"/>
    <w:link w:val="Style_16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6_ch" w:type="character">
    <w:name w:val="heading 1"/>
    <w:link w:val="Style_16"/>
    <w:rPr>
      <w:rFonts w:ascii="XO Thames" w:hAnsi="XO Thames"/>
      <w:b w:val="1"/>
      <w:sz w:val="32"/>
    </w:rPr>
  </w:style>
  <w:style w:styleId="Style_17" w:type="paragraph">
    <w:name w:val="Hyperlink"/>
    <w:link w:val="Style_17_ch"/>
    <w:rPr>
      <w:color w:val="0000FF"/>
      <w:u w:val="single"/>
    </w:rPr>
  </w:style>
  <w:style w:styleId="Style_17_ch" w:type="character">
    <w:name w:val="Hyperlink"/>
    <w:link w:val="Style_17"/>
    <w:rPr>
      <w:color w:val="0000FF"/>
      <w:u w:val="single"/>
    </w:rPr>
  </w:style>
  <w:style w:styleId="Style_18" w:type="paragraph">
    <w:name w:val="Footnote"/>
    <w:link w:val="Style_18_ch"/>
    <w:pPr>
      <w:ind w:firstLine="851" w:left="0"/>
      <w:jc w:val="both"/>
    </w:pPr>
    <w:rPr>
      <w:rFonts w:ascii="XO Thames" w:hAnsi="XO Thames"/>
      <w:sz w:val="22"/>
    </w:rPr>
  </w:style>
  <w:style w:styleId="Style_18_ch" w:type="character">
    <w:name w:val="Footnote"/>
    <w:link w:val="Style_18"/>
    <w:rPr>
      <w:rFonts w:ascii="XO Thames" w:hAnsi="XO Thames"/>
      <w:sz w:val="22"/>
    </w:rPr>
  </w:style>
  <w:style w:styleId="Style_19" w:type="paragraph">
    <w:name w:val="toc 1"/>
    <w:next w:val="Style_2"/>
    <w:link w:val="Style_1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9_ch" w:type="character">
    <w:name w:val="toc 1"/>
    <w:link w:val="Style_19"/>
    <w:rPr>
      <w:rFonts w:ascii="XO Thames" w:hAnsi="XO Thames"/>
      <w:b w:val="1"/>
      <w:sz w:val="28"/>
    </w:rPr>
  </w:style>
  <w:style w:styleId="Style_1" w:type="paragraph">
    <w:name w:val="Header and Footer"/>
    <w:link w:val="Style_1_ch"/>
    <w:pPr>
      <w:spacing w:line="240" w:lineRule="auto"/>
      <w:ind/>
      <w:jc w:val="both"/>
    </w:pPr>
    <w:rPr>
      <w:rFonts w:ascii="XO Thames" w:hAnsi="XO Thames"/>
      <w:sz w:val="28"/>
    </w:rPr>
  </w:style>
  <w:style w:styleId="Style_1_ch" w:type="character">
    <w:name w:val="Header and Footer"/>
    <w:link w:val="Style_1"/>
    <w:rPr>
      <w:rFonts w:ascii="XO Thames" w:hAnsi="XO Thames"/>
      <w:sz w:val="28"/>
    </w:rPr>
  </w:style>
  <w:style w:styleId="Style_20" w:type="paragraph">
    <w:name w:val="Balloon Text"/>
    <w:basedOn w:val="Style_2"/>
    <w:link w:val="Style_20_ch"/>
    <w:pPr>
      <w:spacing w:after="0" w:line="240" w:lineRule="auto"/>
      <w:ind/>
    </w:pPr>
    <w:rPr>
      <w:rFonts w:ascii="Tahoma" w:hAnsi="Tahoma"/>
      <w:sz w:val="16"/>
    </w:rPr>
  </w:style>
  <w:style w:styleId="Style_20_ch" w:type="character">
    <w:name w:val="Balloon Text"/>
    <w:basedOn w:val="Style_2_ch"/>
    <w:link w:val="Style_20"/>
    <w:rPr>
      <w:rFonts w:ascii="Tahoma" w:hAnsi="Tahoma"/>
      <w:sz w:val="16"/>
    </w:rPr>
  </w:style>
  <w:style w:styleId="Style_21" w:type="paragraph">
    <w:name w:val="toc 9"/>
    <w:next w:val="Style_2"/>
    <w:link w:val="Style_21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1_ch" w:type="character">
    <w:name w:val="toc 9"/>
    <w:link w:val="Style_21"/>
    <w:rPr>
      <w:rFonts w:ascii="XO Thames" w:hAnsi="XO Thames"/>
      <w:sz w:val="28"/>
    </w:rPr>
  </w:style>
  <w:style w:styleId="Style_22" w:type="paragraph">
    <w:name w:val="toc 8"/>
    <w:next w:val="Style_2"/>
    <w:link w:val="Style_22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2_ch" w:type="character">
    <w:name w:val="toc 8"/>
    <w:link w:val="Style_22"/>
    <w:rPr>
      <w:rFonts w:ascii="XO Thames" w:hAnsi="XO Thames"/>
      <w:sz w:val="28"/>
    </w:rPr>
  </w:style>
  <w:style w:styleId="Style_5" w:type="paragraph">
    <w:name w:val="ConsPlusTitle"/>
    <w:link w:val="Style_5_ch"/>
    <w:pPr>
      <w:widowControl w:val="0"/>
      <w:ind/>
    </w:pPr>
    <w:rPr>
      <w:rFonts w:ascii="Arial" w:hAnsi="Arial"/>
      <w:b w:val="1"/>
    </w:rPr>
  </w:style>
  <w:style w:styleId="Style_5_ch" w:type="character">
    <w:name w:val="ConsPlusTitle"/>
    <w:link w:val="Style_5"/>
    <w:rPr>
      <w:rFonts w:ascii="Arial" w:hAnsi="Arial"/>
      <w:b w:val="1"/>
    </w:rPr>
  </w:style>
  <w:style w:styleId="Style_23" w:type="paragraph">
    <w:name w:val="toc 5"/>
    <w:next w:val="Style_2"/>
    <w:link w:val="Style_23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3_ch" w:type="character">
    <w:name w:val="toc 5"/>
    <w:link w:val="Style_23"/>
    <w:rPr>
      <w:rFonts w:ascii="XO Thames" w:hAnsi="XO Thames"/>
      <w:sz w:val="28"/>
    </w:rPr>
  </w:style>
  <w:style w:styleId="Style_24" w:type="paragraph">
    <w:name w:val="Default Paragraph Font"/>
    <w:link w:val="Style_24_ch"/>
  </w:style>
  <w:style w:styleId="Style_24_ch" w:type="character">
    <w:name w:val="Default Paragraph Font"/>
    <w:link w:val="Style_24"/>
  </w:style>
  <w:style w:styleId="Style_25" w:type="paragraph">
    <w:name w:val="Subtitle"/>
    <w:next w:val="Style_2"/>
    <w:link w:val="Style_2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5_ch" w:type="character">
    <w:name w:val="Subtitle"/>
    <w:link w:val="Style_25"/>
    <w:rPr>
      <w:rFonts w:ascii="XO Thames" w:hAnsi="XO Thames"/>
      <w:i w:val="1"/>
      <w:sz w:val="24"/>
    </w:rPr>
  </w:style>
  <w:style w:styleId="Style_26" w:type="paragraph">
    <w:name w:val="Title"/>
    <w:next w:val="Style_2"/>
    <w:link w:val="Style_2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6_ch" w:type="character">
    <w:name w:val="Title"/>
    <w:link w:val="Style_26"/>
    <w:rPr>
      <w:rFonts w:ascii="XO Thames" w:hAnsi="XO Thames"/>
      <w:b w:val="1"/>
      <w:caps w:val="1"/>
      <w:sz w:val="40"/>
    </w:rPr>
  </w:style>
  <w:style w:styleId="Style_27" w:type="paragraph">
    <w:name w:val="heading 4"/>
    <w:next w:val="Style_2"/>
    <w:link w:val="Style_2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7_ch" w:type="character">
    <w:name w:val="heading 4"/>
    <w:link w:val="Style_27"/>
    <w:rPr>
      <w:rFonts w:ascii="XO Thames" w:hAnsi="XO Thames"/>
      <w:b w:val="1"/>
      <w:sz w:val="24"/>
    </w:rPr>
  </w:style>
  <w:style w:styleId="Style_28" w:type="paragraph">
    <w:name w:val="heading 2"/>
    <w:next w:val="Style_2"/>
    <w:link w:val="Style_2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8_ch" w:type="character">
    <w:name w:val="heading 2"/>
    <w:link w:val="Style_28"/>
    <w:rPr>
      <w:rFonts w:ascii="XO Thames" w:hAnsi="XO Thames"/>
      <w:b w:val="1"/>
      <w:sz w:val="28"/>
    </w:rPr>
  </w:style>
  <w:style w:default="1" w:styleId="Style_29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WithEffects.xml" Type="http://schemas.microsoft.com/office/2007/relationships/stylesWithEffects"/>
  <Relationship Id="rId1" Target="header1.xml" Type="http://schemas.openxmlformats.org/officeDocument/2006/relationships/header"/>
  <Relationship Id="rId2" Target="footer2.xml" Type="http://schemas.openxmlformats.org/officeDocument/2006/relationships/footer"/>
  <Relationship Id="rId3" Target="fontTable.xml" Type="http://schemas.openxmlformats.org/officeDocument/2006/relationships/fontTable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7" Target="webSettings.xml" Type="http://schemas.openxmlformats.org/officeDocument/2006/relationships/webSettings"/>
  <Relationship Id="rId5" Target="styles.xml" Type="http://schemas.openxmlformats.org/officeDocument/2006/relationships/style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2024-06-28T05:55:41Z</dcterms:modified>
</cp:coreProperties>
</file>