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pStyle w:val="Style_3"/>
        <w:rPr>
          <w:b w:val="1"/>
          <w:sz w:val="28"/>
        </w:rPr>
      </w:pPr>
      <w:r>
        <w:rPr>
          <w:b w:val="1"/>
          <w:sz w:val="28"/>
        </w:rPr>
        <w:t>ПОЯСНИТЕЛЬНАЯ ЗАПИСКА</w:t>
      </w:r>
    </w:p>
    <w:p w14:paraId="03000000">
      <w:pPr>
        <w:pStyle w:val="Style_4"/>
        <w:ind/>
        <w:jc w:val="center"/>
        <w:rPr>
          <w:b w:val="1"/>
        </w:rPr>
      </w:pPr>
      <w:r>
        <w:rPr>
          <w:b w:val="1"/>
        </w:rPr>
        <w:t>к проекту областного закона</w:t>
      </w:r>
    </w:p>
    <w:p w14:paraId="04000000">
      <w:pPr>
        <w:pStyle w:val="Style_4"/>
        <w:ind/>
        <w:jc w:val="center"/>
        <w:rPr>
          <w:b w:val="1"/>
        </w:rPr>
      </w:pPr>
      <w:r>
        <w:rPr>
          <w:b w:val="1"/>
        </w:rPr>
        <w:t xml:space="preserve">«О внесений изменений в </w:t>
      </w:r>
      <w:r>
        <w:rPr>
          <w:rStyle w:val="Style_3_ch"/>
          <w:b w:val="1"/>
          <w:sz w:val="28"/>
        </w:rPr>
        <w:t xml:space="preserve">Областной закон </w:t>
      </w:r>
      <w:r>
        <w:br/>
      </w:r>
      <w:r>
        <w:rPr>
          <w:rStyle w:val="Style_3_ch"/>
          <w:b w:val="1"/>
          <w:sz w:val="28"/>
        </w:rPr>
        <w:t>«Об экологической экспертизе в Ростовской области»</w:t>
      </w:r>
    </w:p>
    <w:p w14:paraId="05000000">
      <w:pPr>
        <w:pStyle w:val="Style_4"/>
        <w:ind/>
        <w:jc w:val="center"/>
        <w:rPr>
          <w:b w:val="1"/>
        </w:rPr>
      </w:pPr>
    </w:p>
    <w:p w14:paraId="06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Проект областного закона «О внесении изменений в Областной закон</w:t>
      </w:r>
      <w:r>
        <w:br/>
      </w:r>
      <w:r>
        <w:rPr>
          <w:rStyle w:val="Style_5_ch"/>
          <w:sz w:val="28"/>
        </w:rPr>
        <w:t>«Об экологической экспертизе в Ростовской области» подготовлен в целях приведения областного законодательства в соответствие с Федеральными законами от 25 декабря 2023 года № 673-ФЗ «О внесении изменений в Федеральный закон «Об экологической экспертизе», отдельные законодательные акты Российской Федерации и признании утратившим силу пункта 4 части 4 статьи 2 Федерального закона «О переводе земель или земельных участков из одной категории в другую» (далее – Федеральный закон № 673-ФЗ) и  от 25 декабря 2023 года № 681-ФЗ</w:t>
      </w:r>
      <w:r>
        <w:br/>
      </w:r>
      <w:r>
        <w:rPr>
          <w:rStyle w:val="Style_5_ch"/>
          <w:sz w:val="28"/>
        </w:rPr>
        <w:t>«О внесении изменений в Федеральный закон «Об экологической экспертизе» (далее – Федеральный закон № 681-ФЗ).</w:t>
      </w:r>
    </w:p>
    <w:p w14:paraId="07000000">
      <w:pPr>
        <w:numPr>
          <w:ilvl w:val="0"/>
          <w:numId w:val="1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Федеральным законом № 681-ФЗ внесены изменения в Федеральный закон от 23 ноября 1995 года  № 174-ФЗ «Об экологической экспертизе», которыми исключено положение о том, что заключение общественной экологической экспертизы приобретает юридическую силу после утверждения его федеральным органом исполнительной власти в области экологической экспертизы или органом государственной власти субъекта Российской Федерации.</w:t>
      </w:r>
    </w:p>
    <w:p w14:paraId="08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 xml:space="preserve">В связи с этим предлагается признать утратившим силу пункт 5 части 2 статьи 3 Областного закона от 3 ноября 2006 года № 578-ЗС «Об экологической экспертизе в Ростовской области» (далее – Областной закон № 578-ЗС) и исключить полномочие по утверждению заключения общественной экологической экспертизы объектов регионального уровня </w:t>
      </w:r>
      <w:r>
        <w:rPr>
          <w:rStyle w:val="Style_5_ch"/>
          <w:sz w:val="28"/>
        </w:rPr>
        <w:t>из компетенции органа исполнительной власти Ростовской области в области экологической экспертизы.</w:t>
      </w:r>
    </w:p>
    <w:p w14:paraId="09000000">
      <w:pPr>
        <w:numPr>
          <w:ilvl w:val="0"/>
          <w:numId w:val="1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Федеральным законом № 673-ФЗ внесены изменения в Федеральный закон от 23 ноября 1995 года № 174-ФЗ «Об экологической экспертизе»,</w:t>
      </w:r>
      <w:r>
        <w:br/>
      </w:r>
      <w:r>
        <w:rPr>
          <w:rStyle w:val="Style_5_ch"/>
          <w:sz w:val="28"/>
        </w:rPr>
        <w:t>в соответствии с которыми:</w:t>
      </w:r>
    </w:p>
    <w:p w14:paraId="0A000000">
      <w:pPr>
        <w:numPr>
          <w:ilvl w:val="0"/>
          <w:numId w:val="2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для проведения государственной экологической экспертизы ее заказчик представляет не материалы, а документы и (или) документацию;</w:t>
      </w:r>
    </w:p>
    <w:p w14:paraId="0B000000">
      <w:pPr>
        <w:numPr>
          <w:ilvl w:val="0"/>
          <w:numId w:val="2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в состав представляемых на государственную экологическую экспертизу материалов обсуждений объекта государственной экологической экспертизы, организованных органами местного самоуправления или региональными органами власти, будут входить материалы его обсуждений как с гражданами</w:t>
      </w:r>
      <w:r>
        <w:br/>
      </w:r>
      <w:r>
        <w:rPr>
          <w:rStyle w:val="Style_5_ch"/>
          <w:sz w:val="28"/>
        </w:rPr>
        <w:t>и общественными объединениями, так и с другими негосударственными некоммерческими организациями, юридическими лицами;</w:t>
      </w:r>
    </w:p>
    <w:p w14:paraId="0C000000">
      <w:pPr>
        <w:numPr>
          <w:ilvl w:val="0"/>
          <w:numId w:val="2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 xml:space="preserve">материалы </w:t>
      </w:r>
      <w:r>
        <w:rPr>
          <w:rStyle w:val="Style_5_ch"/>
          <w:sz w:val="28"/>
        </w:rPr>
        <w:t>обсуждений объекта государственной экологической экспертизы</w:t>
      </w:r>
      <w:r>
        <w:rPr>
          <w:sz w:val="28"/>
        </w:rPr>
        <w:t xml:space="preserve"> исключаются из числа документов, которые региональные органы власти вправе запрашивать самостоятельно, если они не представлены </w:t>
      </w:r>
      <w:r>
        <w:rPr>
          <w:sz w:val="28"/>
        </w:rPr>
        <w:br/>
      </w:r>
      <w:r>
        <w:rPr>
          <w:sz w:val="28"/>
        </w:rPr>
        <w:t>по инициативе заказчика;</w:t>
      </w:r>
    </w:p>
    <w:p w14:paraId="0D000000">
      <w:pPr>
        <w:numPr>
          <w:ilvl w:val="0"/>
          <w:numId w:val="2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>представлять наряду с положительными заключениями и документами согласований исполнительных органов власти положительные заключения</w:t>
      </w:r>
      <w:r>
        <w:br/>
      </w:r>
      <w:r>
        <w:rPr>
          <w:sz w:val="28"/>
        </w:rPr>
        <w:t>и документы согласований органов местного самоуправления больше</w:t>
      </w:r>
      <w:r>
        <w:br/>
      </w:r>
      <w:r>
        <w:rPr>
          <w:sz w:val="28"/>
        </w:rPr>
        <w:t>не потребуется</w:t>
      </w:r>
      <w:r>
        <w:rPr>
          <w:sz w:val="28"/>
        </w:rPr>
        <w:t>;</w:t>
      </w:r>
    </w:p>
    <w:p w14:paraId="0E000000">
      <w:pPr>
        <w:numPr>
          <w:ilvl w:val="0"/>
          <w:numId w:val="2"/>
        </w:num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исключаются положения о возможности проведения повторной государственной экологической экспертизы на основании решения суда</w:t>
      </w:r>
      <w:r>
        <w:br/>
      </w:r>
      <w:r>
        <w:rPr>
          <w:rStyle w:val="Style_5_ch"/>
          <w:sz w:val="28"/>
        </w:rPr>
        <w:t>или арбитражного суда.</w:t>
      </w:r>
    </w:p>
    <w:p w14:paraId="0F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>В связи с изложенным законопроектом предлагается внести аналогичные изменения в статью 5 Областного закона № 578-ЗС</w:t>
      </w:r>
      <w:r>
        <w:rPr>
          <w:sz w:val="28"/>
        </w:rPr>
        <w:t xml:space="preserve">, изложив ее в новой редакции. </w:t>
      </w:r>
    </w:p>
    <w:p w14:paraId="10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 xml:space="preserve">Также Федеральным законом № 673-ФЗ </w:t>
      </w:r>
      <w:r>
        <w:rPr>
          <w:rStyle w:val="Style_5_ch"/>
          <w:sz w:val="28"/>
        </w:rPr>
        <w:t>дано новое определение понятию «заключение государственной экологической экспертизы».</w:t>
      </w:r>
    </w:p>
    <w:p w14:paraId="11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Под указанным заключением понимается документ, подготовленный экспертной комиссией государственной экологической экспертизы и одобренный</w:t>
      </w:r>
      <w:r>
        <w:br/>
      </w:r>
      <w:r>
        <w:rPr>
          <w:rStyle w:val="Style_5_ch"/>
          <w:sz w:val="28"/>
        </w:rPr>
        <w:t>не менее чем двумя третями ее списочного состава, содержащий обоснованные выводы о соответствии документов и (или) документации, обосновывающих намечаемую в связи с реализацией объекта экологической экспертизы хозяйственную и иную деятельность, требованиям в области охраны окружающей среды. Состав и содержание такого заключения в соответствии с указанным законом будет устанавливаться Министерством природных ресурсов и экологии Российской Федерации.</w:t>
      </w:r>
    </w:p>
    <w:p w14:paraId="12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rStyle w:val="Style_5_ch"/>
          <w:sz w:val="28"/>
        </w:rPr>
        <w:t>В связи с этим законопроектом предлагается внести корреспондирующие изменения в статью 7 Областного закона № 578-ЗС</w:t>
      </w:r>
      <w:r>
        <w:rPr>
          <w:rStyle w:val="Style_5_ch"/>
          <w:sz w:val="28"/>
        </w:rPr>
        <w:t>.</w:t>
      </w:r>
    </w:p>
    <w:p w14:paraId="13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>Поскольку Федеральные законы № 673-ФЗ и № 681-ФЗ в рассматриваемой части вступают в силу с 1 сентября 2024 года, законопроект предусматривает,</w:t>
      </w:r>
      <w:r>
        <w:br/>
      </w:r>
      <w:r>
        <w:rPr>
          <w:sz w:val="28"/>
        </w:rPr>
        <w:t xml:space="preserve">что его положения также вступают в силу с указанной даты. </w:t>
      </w:r>
    </w:p>
    <w:p w14:paraId="14000000">
      <w:pPr>
        <w:spacing w:line="216" w:lineRule="auto"/>
        <w:ind w:firstLine="709" w:left="0"/>
        <w:contextualSpacing w:val="1"/>
        <w:jc w:val="both"/>
        <w:rPr>
          <w:sz w:val="28"/>
        </w:rPr>
      </w:pPr>
      <w:r>
        <w:rPr>
          <w:sz w:val="28"/>
        </w:rPr>
        <w:t xml:space="preserve">Принятие законопроекта не потребует материальных затрат. </w:t>
      </w:r>
    </w:p>
    <w:p w14:paraId="15000000">
      <w:pPr>
        <w:spacing w:line="216" w:lineRule="auto"/>
        <w:ind/>
        <w:jc w:val="both"/>
        <w:rPr>
          <w:sz w:val="28"/>
        </w:rPr>
      </w:pPr>
    </w:p>
    <w:p w14:paraId="16000000">
      <w:pPr>
        <w:ind/>
        <w:jc w:val="both"/>
        <w:rPr>
          <w:sz w:val="28"/>
        </w:rPr>
      </w:pPr>
    </w:p>
    <w:p w14:paraId="17000000">
      <w:pPr>
        <w:ind/>
        <w:jc w:val="both"/>
        <w:rPr>
          <w:sz w:val="28"/>
        </w:rPr>
      </w:pPr>
    </w:p>
    <w:p w14:paraId="18000000">
      <w:pPr>
        <w:ind/>
        <w:jc w:val="both"/>
        <w:rPr>
          <w:sz w:val="28"/>
        </w:rPr>
      </w:pPr>
      <w:r>
        <w:rPr>
          <w:sz w:val="28"/>
        </w:rPr>
        <w:t xml:space="preserve"> Министр природных ресурсов</w:t>
      </w:r>
    </w:p>
    <w:p w14:paraId="19000000">
      <w:pPr>
        <w:ind/>
        <w:jc w:val="both"/>
        <w:rPr>
          <w:sz w:val="28"/>
        </w:rPr>
      </w:pPr>
      <w:r>
        <w:rPr>
          <w:sz w:val="28"/>
        </w:rPr>
        <w:t>и экологии Ростовской области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 xml:space="preserve">           </w:t>
      </w:r>
      <w:r>
        <w:rPr>
          <w:sz w:val="28"/>
        </w:rPr>
        <w:tab/>
      </w:r>
      <w:r>
        <w:rPr>
          <w:sz w:val="28"/>
        </w:rPr>
        <w:t xml:space="preserve">      М.В. Фишкин</w:t>
      </w:r>
    </w:p>
    <w:sectPr>
      <w:headerReference r:id="rId1" w:type="default"/>
      <w:pgSz w:h="16848" w:orient="portrait" w:w="11908"/>
      <w:pgMar w:bottom="567" w:footer="454" w:gutter="0" w:header="720" w:left="1134" w:right="567" w:top="567"/>
      <w:titlePg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720"/>
      </w:p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36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abstractNum w:abstractNumId="1">
    <w:lvl w:ilvl="0">
      <w:start w:val="1"/>
      <w:numFmt w:val="decimal"/>
      <w:lvlText w:val="%1)"/>
      <w:lvlJc w:val="left"/>
      <w:pPr>
        <w:ind w:hanging="360" w:left="720"/>
      </w:pPr>
    </w:lvl>
    <w:lvl w:ilvl="1">
      <w:start w:val="1"/>
      <w:numFmt w:val="russianLower"/>
      <w:lvlText w:val="%2)"/>
      <w:lvlJc w:val="left"/>
      <w:pPr>
        <w:ind w:hanging="360" w:left="1440"/>
      </w:pPr>
    </w:lvl>
    <w:lvl w:ilvl="2">
      <w:start w:val="1"/>
      <w:numFmt w:val="lowerRoman"/>
      <w:lvlText w:val="%3)"/>
      <w:lvlJc w:val="right"/>
      <w:pPr>
        <w:ind w:hanging="360" w:left="2160"/>
      </w:pPr>
    </w:lvl>
    <w:lvl w:ilvl="3">
      <w:start w:val="1"/>
      <w:numFmt w:val="decimal"/>
      <w:lvlText w:val="%4)"/>
      <w:lvlJc w:val="left"/>
      <w:pPr>
        <w:ind w:hanging="360" w:left="2880"/>
      </w:pPr>
    </w:lvl>
    <w:lvl w:ilvl="4">
      <w:start w:val="1"/>
      <w:numFmt w:val="russianLower"/>
      <w:lvlText w:val="%5)"/>
      <w:lvlJc w:val="left"/>
      <w:pPr>
        <w:ind w:hanging="360" w:left="3600"/>
      </w:pPr>
    </w:lvl>
    <w:lvl w:ilvl="5">
      <w:start w:val="1"/>
      <w:numFmt w:val="lowerRoman"/>
      <w:lvlText w:val="%6)"/>
      <w:lvlJc w:val="right"/>
      <w:pPr>
        <w:ind w:hanging="36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russianLow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360" w:left="6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20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heading 3"/>
    <w:next w:val="Style_6"/>
    <w:link w:val="Style_11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1_ch" w:type="character">
    <w:name w:val="heading 3"/>
    <w:link w:val="Style_11"/>
    <w:rPr>
      <w:rFonts w:ascii="XO Thames" w:hAnsi="XO Thames"/>
      <w:b w:val="1"/>
      <w:sz w:val="26"/>
    </w:rPr>
  </w:style>
  <w:style w:styleId="Style_12" w:type="paragraph">
    <w:name w:val="Balloon Text"/>
    <w:basedOn w:val="Style_6"/>
    <w:link w:val="Style_12_ch"/>
    <w:rPr>
      <w:rFonts w:ascii="Tahoma" w:hAnsi="Tahoma"/>
      <w:sz w:val="16"/>
    </w:rPr>
  </w:style>
  <w:style w:styleId="Style_12_ch" w:type="character">
    <w:name w:val="Balloon Text"/>
    <w:basedOn w:val="Style_6_ch"/>
    <w:link w:val="Style_12"/>
    <w:rPr>
      <w:rFonts w:ascii="Tahoma" w:hAnsi="Tahoma"/>
      <w:sz w:val="16"/>
    </w:rPr>
  </w:style>
  <w:style w:styleId="Style_13" w:type="paragraph">
    <w:name w:val="Default Paragraph Font"/>
    <w:link w:val="Style_13_ch"/>
  </w:style>
  <w:style w:styleId="Style_13_ch" w:type="character">
    <w:name w:val="Default Paragraph Font"/>
    <w:link w:val="Style_13"/>
  </w:style>
  <w:style w:styleId="Style_5" w:type="paragraph">
    <w:name w:val="Обычный1"/>
    <w:link w:val="Style_5_ch"/>
    <w:rPr>
      <w:sz w:val="24"/>
    </w:rPr>
  </w:style>
  <w:style w:styleId="Style_5_ch" w:type="character">
    <w:name w:val="Обычный1"/>
    <w:link w:val="Style_5"/>
    <w:rPr>
      <w:sz w:val="24"/>
    </w:rPr>
  </w:style>
  <w:style w:styleId="Style_2" w:type="paragraph">
    <w:name w:val="header"/>
    <w:basedOn w:val="Style_6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header"/>
    <w:basedOn w:val="Style_6_ch"/>
    <w:link w:val="Style_2"/>
  </w:style>
  <w:style w:styleId="Style_14" w:type="paragraph">
    <w:name w:val="Body Text Indent"/>
    <w:basedOn w:val="Style_6"/>
    <w:link w:val="Style_14_ch"/>
    <w:pPr>
      <w:spacing w:after="120"/>
      <w:ind w:firstLine="0" w:left="283"/>
    </w:pPr>
  </w:style>
  <w:style w:styleId="Style_14_ch" w:type="character">
    <w:name w:val="Body Text Indent"/>
    <w:basedOn w:val="Style_6_ch"/>
    <w:link w:val="Style_14"/>
  </w:style>
  <w:style w:styleId="Style_15" w:type="paragraph">
    <w:name w:val="toc 3"/>
    <w:next w:val="Style_6"/>
    <w:link w:val="Style_15_ch"/>
    <w:uiPriority w:val="39"/>
    <w:pPr>
      <w:ind w:firstLine="0" w:left="400"/>
    </w:pPr>
    <w:rPr>
      <w:rFonts w:ascii="XO Thames" w:hAnsi="XO Thames"/>
      <w:sz w:val="28"/>
    </w:rPr>
  </w:style>
  <w:style w:styleId="Style_15_ch" w:type="character">
    <w:name w:val="toc 3"/>
    <w:link w:val="Style_15"/>
    <w:rPr>
      <w:rFonts w:ascii="XO Thames" w:hAnsi="XO Thames"/>
      <w:sz w:val="28"/>
    </w:rPr>
  </w:style>
  <w:style w:styleId="Style_16" w:type="paragraph">
    <w:name w:val="Гиперссылка1"/>
    <w:link w:val="Style_16_ch"/>
    <w:rPr>
      <w:color w:val="0000FF"/>
      <w:u w:val="single"/>
    </w:rPr>
  </w:style>
  <w:style w:styleId="Style_16_ch" w:type="character">
    <w:name w:val="Гиперссылка1"/>
    <w:link w:val="Style_16"/>
    <w:rPr>
      <w:color w:val="0000FF"/>
      <w:u w:val="single"/>
    </w:rPr>
  </w:style>
  <w:style w:styleId="Style_17" w:type="paragraph">
    <w:name w:val="Body Text"/>
    <w:basedOn w:val="Style_6"/>
    <w:link w:val="Style_17_ch"/>
    <w:pPr>
      <w:ind/>
      <w:jc w:val="center"/>
    </w:pPr>
    <w:rPr>
      <w:sz w:val="28"/>
    </w:rPr>
  </w:style>
  <w:style w:styleId="Style_17_ch" w:type="character">
    <w:name w:val="Body Text"/>
    <w:basedOn w:val="Style_6_ch"/>
    <w:link w:val="Style_17"/>
    <w:rPr>
      <w:sz w:val="28"/>
    </w:rPr>
  </w:style>
  <w:style w:styleId="Style_18" w:type="paragraph">
    <w:name w:val="heading 5"/>
    <w:next w:val="Style_6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heading 1"/>
    <w:next w:val="Style_6"/>
    <w:link w:val="Style_19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9_ch" w:type="character">
    <w:name w:val="heading 1"/>
    <w:link w:val="Style_19"/>
    <w:rPr>
      <w:rFonts w:ascii="XO Thames" w:hAnsi="XO Thames"/>
      <w:b w:val="1"/>
      <w:sz w:val="32"/>
    </w:rPr>
  </w:style>
  <w:style w:styleId="Style_20" w:type="paragraph">
    <w:name w:val="Hyperlink"/>
    <w:link w:val="Style_20_ch"/>
    <w:rPr>
      <w:color w:val="0000FF"/>
      <w:u w:val="single"/>
    </w:rPr>
  </w:style>
  <w:style w:styleId="Style_20_ch" w:type="character">
    <w:name w:val="Hyperlink"/>
    <w:link w:val="Style_20"/>
    <w:rPr>
      <w:color w:val="0000FF"/>
      <w:u w:val="single"/>
    </w:rPr>
  </w:style>
  <w:style w:styleId="Style_21" w:type="paragraph">
    <w:name w:val="Footnote"/>
    <w:link w:val="Style_21_ch"/>
    <w:pPr>
      <w:ind w:firstLine="851" w:left="0"/>
      <w:jc w:val="both"/>
    </w:pPr>
    <w:rPr>
      <w:rFonts w:ascii="XO Thames" w:hAnsi="XO Thames"/>
      <w:sz w:val="22"/>
    </w:rPr>
  </w:style>
  <w:style w:styleId="Style_21_ch" w:type="character">
    <w:name w:val="Footnote"/>
    <w:link w:val="Style_21"/>
    <w:rPr>
      <w:rFonts w:ascii="XO Thames" w:hAnsi="XO Thames"/>
      <w:sz w:val="22"/>
    </w:rPr>
  </w:style>
  <w:style w:styleId="Style_22" w:type="paragraph">
    <w:name w:val="toc 1"/>
    <w:next w:val="Style_6"/>
    <w:link w:val="Style_22_ch"/>
    <w:uiPriority w:val="39"/>
    <w:rPr>
      <w:rFonts w:ascii="XO Thames" w:hAnsi="XO Thames"/>
      <w:b w:val="1"/>
      <w:sz w:val="28"/>
    </w:rPr>
  </w:style>
  <w:style w:styleId="Style_22_ch" w:type="character">
    <w:name w:val="toc 1"/>
    <w:link w:val="Style_22"/>
    <w:rPr>
      <w:rFonts w:ascii="XO Thames" w:hAnsi="XO Thames"/>
      <w:b w:val="1"/>
      <w:sz w:val="28"/>
    </w:rPr>
  </w:style>
  <w:style w:styleId="Style_23" w:type="paragraph">
    <w:name w:val="Header and Footer"/>
    <w:link w:val="Style_23_ch"/>
    <w:pPr>
      <w:ind/>
      <w:jc w:val="both"/>
    </w:pPr>
    <w:rPr>
      <w:rFonts w:ascii="XO Thames" w:hAnsi="XO Thames"/>
    </w:rPr>
  </w:style>
  <w:style w:styleId="Style_23_ch" w:type="character">
    <w:name w:val="Header and Footer"/>
    <w:link w:val="Style_23"/>
    <w:rPr>
      <w:rFonts w:ascii="XO Thames" w:hAnsi="XO Thames"/>
    </w:rPr>
  </w:style>
  <w:style w:styleId="Style_4" w:type="paragraph">
    <w:name w:val="Body Text 2"/>
    <w:basedOn w:val="Style_6"/>
    <w:link w:val="Style_4_ch"/>
    <w:pPr>
      <w:ind/>
      <w:jc w:val="both"/>
    </w:pPr>
    <w:rPr>
      <w:sz w:val="28"/>
    </w:rPr>
  </w:style>
  <w:style w:styleId="Style_4_ch" w:type="character">
    <w:name w:val="Body Text 2"/>
    <w:basedOn w:val="Style_6_ch"/>
    <w:link w:val="Style_4"/>
    <w:rPr>
      <w:sz w:val="28"/>
    </w:rPr>
  </w:style>
  <w:style w:styleId="Style_24" w:type="paragraph">
    <w:name w:val="подпись1"/>
    <w:basedOn w:val="Style_6"/>
    <w:link w:val="Style_24_ch"/>
    <w:rPr>
      <w:sz w:val="28"/>
    </w:rPr>
  </w:style>
  <w:style w:styleId="Style_24_ch" w:type="character">
    <w:name w:val="подпись1"/>
    <w:basedOn w:val="Style_6_ch"/>
    <w:link w:val="Style_24"/>
    <w:rPr>
      <w:sz w:val="28"/>
    </w:rPr>
  </w:style>
  <w:style w:styleId="Style_25" w:type="paragraph">
    <w:name w:val="toc 9"/>
    <w:next w:val="Style_6"/>
    <w:link w:val="Style_25_ch"/>
    <w:uiPriority w:val="39"/>
    <w:pPr>
      <w:ind w:firstLine="0" w:left="1600"/>
    </w:pPr>
    <w:rPr>
      <w:rFonts w:ascii="XO Thames" w:hAnsi="XO Thames"/>
      <w:sz w:val="28"/>
    </w:rPr>
  </w:style>
  <w:style w:styleId="Style_25_ch" w:type="character">
    <w:name w:val="toc 9"/>
    <w:link w:val="Style_25"/>
    <w:rPr>
      <w:rFonts w:ascii="XO Thames" w:hAnsi="XO Thames"/>
      <w:sz w:val="28"/>
    </w:rPr>
  </w:style>
  <w:style w:styleId="Style_1" w:type="paragraph">
    <w:name w:val="Номер страницы1"/>
    <w:basedOn w:val="Style_26"/>
    <w:link w:val="Style_1_ch"/>
  </w:style>
  <w:style w:styleId="Style_1_ch" w:type="character">
    <w:name w:val="Номер страницы1"/>
    <w:basedOn w:val="Style_26_ch"/>
    <w:link w:val="Style_1"/>
  </w:style>
  <w:style w:styleId="Style_27" w:type="paragraph">
    <w:name w:val="toc 8"/>
    <w:next w:val="Style_6"/>
    <w:link w:val="Style_27_ch"/>
    <w:uiPriority w:val="39"/>
    <w:pPr>
      <w:ind w:firstLine="0" w:left="1400"/>
    </w:pPr>
    <w:rPr>
      <w:rFonts w:ascii="XO Thames" w:hAnsi="XO Thames"/>
      <w:sz w:val="28"/>
    </w:rPr>
  </w:style>
  <w:style w:styleId="Style_27_ch" w:type="character">
    <w:name w:val="toc 8"/>
    <w:link w:val="Style_27"/>
    <w:rPr>
      <w:rFonts w:ascii="XO Thames" w:hAnsi="XO Thames"/>
      <w:sz w:val="28"/>
    </w:rPr>
  </w:style>
  <w:style w:styleId="Style_28" w:type="paragraph">
    <w:name w:val="toc 5"/>
    <w:next w:val="Style_6"/>
    <w:link w:val="Style_28_ch"/>
    <w:uiPriority w:val="39"/>
    <w:pPr>
      <w:ind w:firstLine="0" w:left="800"/>
    </w:pPr>
    <w:rPr>
      <w:rFonts w:ascii="XO Thames" w:hAnsi="XO Thames"/>
      <w:sz w:val="28"/>
    </w:rPr>
  </w:style>
  <w:style w:styleId="Style_28_ch" w:type="character">
    <w:name w:val="toc 5"/>
    <w:link w:val="Style_28"/>
    <w:rPr>
      <w:rFonts w:ascii="XO Thames" w:hAnsi="XO Thames"/>
      <w:sz w:val="28"/>
    </w:rPr>
  </w:style>
  <w:style w:styleId="Style_29" w:type="paragraph">
    <w:name w:val="List Paragraph"/>
    <w:basedOn w:val="Style_6"/>
    <w:link w:val="Style_29_ch"/>
    <w:pPr>
      <w:ind w:firstLine="0" w:left="720"/>
      <w:contextualSpacing w:val="1"/>
    </w:pPr>
  </w:style>
  <w:style w:styleId="Style_29_ch" w:type="character">
    <w:name w:val="List Paragraph"/>
    <w:basedOn w:val="Style_6_ch"/>
    <w:link w:val="Style_29"/>
  </w:style>
  <w:style w:styleId="Style_30" w:type="paragraph">
    <w:name w:val="footer"/>
    <w:basedOn w:val="Style_6"/>
    <w:link w:val="Style_30_ch"/>
    <w:pPr>
      <w:tabs>
        <w:tab w:leader="none" w:pos="4153" w:val="center"/>
        <w:tab w:leader="none" w:pos="8306" w:val="right"/>
      </w:tabs>
      <w:ind/>
    </w:pPr>
  </w:style>
  <w:style w:styleId="Style_30_ch" w:type="character">
    <w:name w:val="footer"/>
    <w:basedOn w:val="Style_6_ch"/>
    <w:link w:val="Style_30"/>
  </w:style>
  <w:style w:styleId="Style_31" w:type="paragraph">
    <w:name w:val="Subtitle"/>
    <w:next w:val="Style_6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36"/>
    </w:rPr>
  </w:style>
  <w:style w:styleId="Style_3_ch" w:type="character">
    <w:name w:val="Title"/>
    <w:basedOn w:val="Style_6_ch"/>
    <w:link w:val="Style_3"/>
    <w:rPr>
      <w:sz w:val="36"/>
    </w:rPr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26" w:type="paragraph">
    <w:name w:val="Основной шрифт абзаца1"/>
    <w:link w:val="Style_26_ch"/>
  </w:style>
  <w:style w:styleId="Style_26_ch" w:type="character">
    <w:name w:val="Основной шрифт абзаца1"/>
    <w:link w:val="Style_26"/>
  </w:style>
  <w:style w:default="1" w:styleId="Style_3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8" Target="numbering.xml" Type="http://schemas.openxmlformats.org/officeDocument/2006/relationships/numbering"/>
  <Relationship Id="rId2" Target="fontTable.xml" Type="http://schemas.openxmlformats.org/officeDocument/2006/relationships/fontTable"/>
  <Relationship Id="rId3" Target="settings.xml" Type="http://schemas.openxmlformats.org/officeDocument/2006/relationships/settings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2024-07-01T10:13:53Z</dcterms:modified>
</cp:coreProperties>
</file>