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3"/>
        <w:ind w:firstLine="0" w:left="6662"/>
        <w:rPr>
          <w:sz w:val="24"/>
        </w:rPr>
      </w:pPr>
      <w:r>
        <w:rPr>
          <w:b w:val="0"/>
          <w:caps w:val="1"/>
          <w:sz w:val="24"/>
          <w:u w:val="none"/>
        </w:rPr>
        <w:t>Проект</w:t>
      </w:r>
    </w:p>
    <w:p w14:paraId="04000000">
      <w:pPr>
        <w:keepNext w:val="1"/>
        <w:ind w:firstLine="0" w:left="6663"/>
        <w:jc w:val="center"/>
        <w:rPr>
          <w:i w:val="1"/>
          <w:caps w:val="1"/>
          <w:sz w:val="16"/>
        </w:rPr>
      </w:pPr>
    </w:p>
    <w:p w14:paraId="05000000">
      <w:pPr>
        <w:pStyle w:val="Style_4"/>
        <w:widowControl w:val="1"/>
        <w:ind w:firstLine="0" w:left="7228"/>
        <w:rPr>
          <w:rFonts w:ascii="Times New Roman" w:hAnsi="Times New Roman"/>
        </w:rPr>
      </w:pPr>
      <w:r>
        <w:rPr>
          <w:rFonts w:ascii="Times New Roman" w:hAnsi="Times New Roman"/>
        </w:rPr>
        <w:t>Внесен</w:t>
      </w:r>
      <w:r>
        <w:rPr>
          <w:rFonts w:ascii="Times New Roman" w:hAnsi="Times New Roman"/>
        </w:rPr>
        <w:t xml:space="preserve"> Губернатором </w:t>
      </w:r>
    </w:p>
    <w:p w14:paraId="06000000">
      <w:pPr>
        <w:pStyle w:val="Style_4"/>
        <w:widowControl w:val="1"/>
        <w:ind w:firstLine="0" w:left="7228"/>
      </w:pPr>
      <w:r>
        <w:rPr>
          <w:rFonts w:ascii="Times New Roman" w:hAnsi="Times New Roman"/>
        </w:rPr>
        <w:t xml:space="preserve">Ростовской области </w:t>
      </w:r>
    </w:p>
    <w:p w14:paraId="07000000">
      <w:pPr>
        <w:pStyle w:val="Style_4"/>
        <w:widowControl w:val="1"/>
        <w:ind w:firstLine="0" w:left="7228"/>
        <w:rPr>
          <w:rFonts w:ascii="Times New Roman" w:hAnsi="Times New Roman"/>
          <w:sz w:val="16"/>
        </w:rPr>
      </w:pPr>
    </w:p>
    <w:p w14:paraId="08000000">
      <w:pPr>
        <w:pStyle w:val="Style_4"/>
        <w:widowControl w:val="1"/>
        <w:ind w:firstLine="0" w:left="7228" w:right="-113"/>
        <w:rPr>
          <w:rFonts w:ascii="Times New Roman" w:hAnsi="Times New Roman"/>
        </w:rPr>
      </w:pPr>
      <w:r>
        <w:rPr>
          <w:rFonts w:ascii="Times New Roman" w:hAnsi="Times New Roman"/>
        </w:rPr>
        <w:t>Подготовлен</w:t>
      </w:r>
      <w:r>
        <w:rPr>
          <w:rFonts w:ascii="Times New Roman" w:hAnsi="Times New Roman"/>
        </w:rPr>
        <w:t xml:space="preserve"> управлением государственной службы занятости </w:t>
      </w:r>
      <w:r>
        <w:rPr>
          <w:rFonts w:ascii="Times New Roman" w:hAnsi="Times New Roman"/>
        </w:rPr>
        <w:t>населения</w:t>
      </w:r>
    </w:p>
    <w:p w14:paraId="09000000">
      <w:pPr>
        <w:pStyle w:val="Style_4"/>
        <w:widowControl w:val="1"/>
        <w:ind w:firstLine="0" w:left="7228" w:right="-113"/>
        <w:rPr>
          <w:rFonts w:ascii="Times New Roman" w:hAnsi="Times New Roman"/>
        </w:rPr>
      </w:pPr>
      <w:r>
        <w:rPr>
          <w:rFonts w:ascii="Times New Roman" w:hAnsi="Times New Roman"/>
        </w:rPr>
        <w:t>Ростовской области</w:t>
      </w:r>
    </w:p>
    <w:p w14:paraId="0A000000">
      <w:pPr>
        <w:ind w:firstLine="0" w:left="0"/>
        <w:jc w:val="left"/>
        <w:rPr>
          <w:caps w:val="1"/>
          <w:sz w:val="20"/>
        </w:rPr>
      </w:pPr>
    </w:p>
    <w:p w14:paraId="0B000000">
      <w:pPr>
        <w:ind w:firstLine="0" w:left="0"/>
        <w:jc w:val="left"/>
        <w:rPr>
          <w:caps w:val="1"/>
          <w:sz w:val="20"/>
        </w:rPr>
      </w:pPr>
    </w:p>
    <w:p w14:paraId="0C000000">
      <w:pPr>
        <w:pStyle w:val="Style_5"/>
        <w:ind/>
        <w:jc w:val="center"/>
        <w:rPr>
          <w:sz w:val="32"/>
        </w:rPr>
      </w:pPr>
      <w:r>
        <w:rPr>
          <w:b w:val="1"/>
          <w:i w:val="0"/>
          <w:sz w:val="32"/>
          <w:u w:val="none"/>
        </w:rPr>
        <w:t>ОБЛАСТНОЙ ЗАКОН</w:t>
      </w:r>
    </w:p>
    <w:p w14:paraId="0D000000">
      <w:pPr>
        <w:pStyle w:val="Style_6"/>
        <w:spacing w:line="240" w:lineRule="auto"/>
        <w:ind/>
        <w:jc w:val="center"/>
        <w:rPr>
          <w:b w:val="1"/>
          <w:i w:val="1"/>
        </w:rPr>
      </w:pPr>
    </w:p>
    <w:p w14:paraId="0E000000">
      <w:pPr>
        <w:ind w:firstLine="0" w:left="0"/>
        <w:jc w:val="center"/>
        <w:rPr>
          <w:b w:val="1"/>
          <w:caps w:val="1"/>
        </w:rPr>
      </w:pPr>
      <w:r>
        <w:rPr>
          <w:b w:val="1"/>
          <w:caps w:val="1"/>
        </w:rPr>
        <w:t xml:space="preserve">О внесении измененИЙ в ОБЛАСТНОй ЗАКОН </w:t>
      </w:r>
    </w:p>
    <w:p w14:paraId="0F000000">
      <w:pPr>
        <w:ind w:firstLine="0" w:left="0"/>
        <w:jc w:val="center"/>
        <w:rPr>
          <w:b w:val="1"/>
        </w:rPr>
      </w:pPr>
      <w:r>
        <w:rPr>
          <w:b w:val="1"/>
        </w:rPr>
        <w:t>«О КВОТИРОВАНИИ РАБОЧИХ МЕСТ ДЛЯ ИНВАЛИДОВ В РОСТОВСКОЙ ОБЛАСТИ»</w:t>
      </w:r>
    </w:p>
    <w:p w14:paraId="10000000">
      <w:pPr>
        <w:pStyle w:val="Style_7"/>
        <w:spacing w:after="0"/>
        <w:ind w:firstLine="0" w:left="0"/>
        <w:jc w:val="center"/>
        <w:rPr>
          <w:b w:val="1"/>
        </w:rPr>
      </w:pPr>
    </w:p>
    <w:p w14:paraId="11000000">
      <w:pPr>
        <w:pStyle w:val="Style_7"/>
        <w:spacing w:after="0"/>
        <w:ind w:firstLine="0" w:left="0"/>
        <w:jc w:val="center"/>
        <w:rPr>
          <w:b w:val="1"/>
        </w:rPr>
      </w:pPr>
    </w:p>
    <w:tbl>
      <w:tblPr>
        <w:tblStyle w:val="Style_8"/>
        <w:tblW w:type="auto" w:w="0"/>
        <w:tblLayout w:type="fixed"/>
      </w:tblPr>
      <w:tblGrid>
        <w:gridCol w:w="4301"/>
        <w:gridCol w:w="5620"/>
      </w:tblGrid>
      <w:tr>
        <w:trPr>
          <w:trHeight w:hRule="atLeast" w:val="725"/>
        </w:trPr>
        <w:tc>
          <w:tcPr>
            <w:tcW w:type="dxa" w:w="4301"/>
          </w:tcPr>
          <w:p w14:paraId="12000000">
            <w:pPr>
              <w:pStyle w:val="Style_9"/>
              <w:ind w:firstLine="0" w:left="0"/>
              <w:jc w:val="center"/>
            </w:pPr>
            <w:r>
              <w:t>Принят</w:t>
            </w:r>
          </w:p>
          <w:p w14:paraId="13000000">
            <w:pPr>
              <w:pStyle w:val="Style_10"/>
            </w:pPr>
            <w:r>
              <w:t>Законодательным Собранием</w:t>
            </w:r>
          </w:p>
        </w:tc>
        <w:tc>
          <w:tcPr>
            <w:tcW w:type="dxa" w:w="5620"/>
          </w:tcPr>
          <w:p w14:paraId="14000000"/>
          <w:p w14:paraId="15000000">
            <w:pPr>
              <w:ind/>
              <w:jc w:val="right"/>
            </w:pPr>
            <w:r>
              <w:rPr>
                <w:b w:val="1"/>
              </w:rPr>
              <w:t xml:space="preserve">«___»______________ 2024 года   </w:t>
            </w:r>
          </w:p>
        </w:tc>
      </w:tr>
    </w:tbl>
    <w:p w14:paraId="16000000">
      <w:pPr>
        <w:spacing w:line="276" w:lineRule="auto"/>
        <w:ind w:firstLine="0" w:left="0"/>
        <w:rPr>
          <w:sz w:val="24"/>
        </w:rPr>
      </w:pPr>
    </w:p>
    <w:p w14:paraId="17000000">
      <w:pPr>
        <w:pStyle w:val="Style_11"/>
        <w:keepNext w:val="0"/>
        <w:spacing w:before="120" w:line="276" w:lineRule="auto"/>
        <w:ind w:firstLine="709" w:left="0"/>
      </w:pPr>
      <w:r>
        <w:t>Статья 1</w:t>
      </w:r>
    </w:p>
    <w:p w14:paraId="18000000">
      <w:pPr>
        <w:spacing w:line="276" w:lineRule="auto"/>
        <w:ind/>
        <w:rPr>
          <w:sz w:val="24"/>
        </w:rPr>
      </w:pPr>
    </w:p>
    <w:p w14:paraId="19000000">
      <w:pPr>
        <w:pStyle w:val="Style_11"/>
        <w:keepNext w:val="0"/>
        <w:spacing w:line="276" w:lineRule="auto"/>
        <w:ind w:firstLine="709" w:left="0"/>
        <w:rPr>
          <w:b w:val="0"/>
        </w:rPr>
      </w:pPr>
      <w:r>
        <w:rPr>
          <w:b w:val="0"/>
        </w:rPr>
        <w:t xml:space="preserve">Внести в Областной закон от </w:t>
      </w:r>
      <w:r>
        <w:rPr>
          <w:b w:val="0"/>
        </w:rPr>
        <w:t xml:space="preserve">7 марта 2006 года № 461-ЗС «О квотировании рабочих мест для инвалидов в Ростовской области» </w:t>
      </w:r>
      <w:r>
        <w:rPr>
          <w:b w:val="0"/>
        </w:rPr>
        <w:t>следующие изменения:</w:t>
      </w:r>
    </w:p>
    <w:p w14:paraId="1A000000">
      <w:pPr>
        <w:pStyle w:val="Style_12"/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преамбулу признать утратившей силу;</w:t>
      </w:r>
    </w:p>
    <w:p w14:paraId="1B000000">
      <w:pPr>
        <w:pStyle w:val="Style_12"/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в статье 3:</w:t>
      </w:r>
    </w:p>
    <w:p w14:paraId="1C000000">
      <w:pPr>
        <w:pStyle w:val="Style_12"/>
        <w:spacing w:line="276" w:lineRule="auto"/>
        <w:ind w:firstLine="0" w:left="709"/>
        <w:jc w:val="both"/>
        <w:rPr>
          <w:sz w:val="28"/>
        </w:rPr>
      </w:pPr>
      <w:r>
        <w:rPr>
          <w:sz w:val="28"/>
        </w:rPr>
        <w:t>а) часть 2 изложить в следующей редакции:</w:t>
      </w:r>
    </w:p>
    <w:p w14:paraId="1D000000">
      <w:pPr>
        <w:pStyle w:val="Style_12"/>
        <w:spacing w:line="276" w:lineRule="auto"/>
        <w:ind w:firstLine="708" w:left="0"/>
        <w:jc w:val="both"/>
        <w:rPr>
          <w:sz w:val="28"/>
        </w:rPr>
      </w:pPr>
      <w:r>
        <w:rPr>
          <w:sz w:val="28"/>
        </w:rPr>
        <w:t xml:space="preserve">«2. Работодатели независимо от организационно-правовых форм </w:t>
      </w:r>
      <w:r>
        <w:rPr>
          <w:sz w:val="28"/>
        </w:rPr>
        <w:t xml:space="preserve">создают квотируемые </w:t>
      </w:r>
      <w:r>
        <w:rPr>
          <w:sz w:val="28"/>
        </w:rPr>
        <w:t>и специальные рабочие места для трудоустройства инвалидов за счет собственных средств</w:t>
      </w:r>
      <w:r>
        <w:rPr>
          <w:sz w:val="28"/>
        </w:rPr>
        <w:t>.»;</w:t>
      </w:r>
    </w:p>
    <w:p w14:paraId="1E000000">
      <w:pPr>
        <w:pStyle w:val="Style_12"/>
        <w:spacing w:line="276" w:lineRule="auto"/>
        <w:ind w:firstLine="708" w:left="0"/>
        <w:jc w:val="both"/>
        <w:rPr>
          <w:sz w:val="28"/>
        </w:rPr>
      </w:pPr>
      <w:r>
        <w:rPr>
          <w:sz w:val="28"/>
        </w:rPr>
        <w:t>б) дополнить частью 4 следующего содержания:</w:t>
      </w:r>
    </w:p>
    <w:p w14:paraId="1F000000">
      <w:pPr>
        <w:pStyle w:val="Style_12"/>
        <w:spacing w:line="240" w:lineRule="atLeast"/>
        <w:ind w:firstLine="708" w:left="0"/>
        <w:jc w:val="both"/>
        <w:rPr>
          <w:color w:val="000000"/>
          <w:sz w:val="28"/>
        </w:rPr>
      </w:pPr>
      <w:r>
        <w:rPr>
          <w:sz w:val="28"/>
        </w:rPr>
        <w:t xml:space="preserve">«4. Работодатели освобождаются от выполнения установленной квоты для приема на работу инвалидов </w:t>
      </w:r>
      <w:r>
        <w:rPr>
          <w:color w:val="000000"/>
          <w:sz w:val="28"/>
        </w:rPr>
        <w:t>в случае, если работодатели являются общест</w:t>
      </w:r>
      <w:r>
        <w:rPr>
          <w:color w:val="000000"/>
          <w:sz w:val="28"/>
        </w:rPr>
        <w:t>венными объединениями инвалидов,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а также </w:t>
      </w:r>
      <w:r>
        <w:rPr>
          <w:color w:val="000000"/>
          <w:sz w:val="28"/>
        </w:rPr>
        <w:t>в иных случаях, установленных Прави</w:t>
      </w:r>
      <w:r>
        <w:rPr>
          <w:color w:val="000000"/>
          <w:sz w:val="28"/>
        </w:rPr>
        <w:t>тельством Российской Федерации</w:t>
      </w:r>
      <w:r>
        <w:rPr>
          <w:color w:val="000000"/>
          <w:sz w:val="28"/>
        </w:rPr>
        <w:t>.»;</w:t>
      </w:r>
    </w:p>
    <w:p w14:paraId="20000000">
      <w:pPr>
        <w:pStyle w:val="Style_12"/>
        <w:numPr>
          <w:ilvl w:val="0"/>
          <w:numId w:val="1"/>
        </w:numPr>
        <w:spacing w:line="400" w:lineRule="exact"/>
        <w:ind/>
        <w:jc w:val="both"/>
        <w:rPr>
          <w:sz w:val="28"/>
        </w:rPr>
      </w:pPr>
      <w:r>
        <w:rPr>
          <w:color w:val="000000"/>
          <w:sz w:val="28"/>
        </w:rPr>
        <w:t xml:space="preserve">статью 4 </w:t>
      </w:r>
      <w:r>
        <w:rPr>
          <w:sz w:val="28"/>
        </w:rPr>
        <w:t>изложить в следующей редакции:</w:t>
      </w:r>
    </w:p>
    <w:p w14:paraId="21000000">
      <w:pPr>
        <w:pStyle w:val="Style_12"/>
        <w:spacing w:line="400" w:lineRule="exact"/>
        <w:ind w:firstLine="451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   «Статья 4. </w:t>
      </w:r>
      <w:r>
        <w:rPr>
          <w:b w:val="1"/>
          <w:color w:val="000000"/>
          <w:sz w:val="28"/>
        </w:rPr>
        <w:t>Установление квоты для приема на работу инвалидов</w:t>
      </w:r>
    </w:p>
    <w:p w14:paraId="22000000">
      <w:pPr>
        <w:pStyle w:val="Style_12"/>
        <w:spacing w:line="400" w:lineRule="exact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</w:t>
      </w:r>
      <w:r>
        <w:rPr>
          <w:color w:val="000000"/>
          <w:sz w:val="28"/>
        </w:rPr>
        <w:t>Работодателям</w:t>
      </w:r>
      <w:r>
        <w:rPr>
          <w:color w:val="000000"/>
          <w:sz w:val="28"/>
        </w:rPr>
        <w:t xml:space="preserve">, </w:t>
      </w:r>
      <w:r>
        <w:rPr>
          <w:color w:val="000000"/>
          <w:sz w:val="28"/>
        </w:rPr>
        <w:t xml:space="preserve">осуществляющим деятельность на территории Ростовской области, </w:t>
      </w:r>
      <w:r>
        <w:rPr>
          <w:color w:val="000000"/>
          <w:sz w:val="28"/>
        </w:rPr>
        <w:t xml:space="preserve">у которых численность </w:t>
      </w:r>
      <w:r>
        <w:rPr>
          <w:color w:val="000000"/>
          <w:sz w:val="28"/>
        </w:rPr>
        <w:t>работников превышает 35 человек,</w:t>
      </w:r>
      <w:r>
        <w:rPr>
          <w:color w:val="000000"/>
          <w:sz w:val="28"/>
        </w:rPr>
        <w:t xml:space="preserve"> устанавливается квота для приема на рабо</w:t>
      </w:r>
      <w:r>
        <w:rPr>
          <w:color w:val="000000"/>
          <w:sz w:val="28"/>
        </w:rPr>
        <w:t>ту инвалидов в размере 3</w:t>
      </w:r>
      <w:r>
        <w:rPr>
          <w:color w:val="000000"/>
          <w:sz w:val="28"/>
        </w:rPr>
        <w:t xml:space="preserve"> процентов от среднесписочной численности работников.</w:t>
      </w:r>
    </w:p>
    <w:p w14:paraId="23000000">
      <w:pPr>
        <w:pStyle w:val="Style_12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 Численность работников для целей исчисления квоты для приема на работу инвалидов определяется исходя из среднесписочной численности </w:t>
      </w:r>
      <w:r>
        <w:rPr>
          <w:color w:val="000000"/>
          <w:sz w:val="28"/>
        </w:rPr>
        <w:t>работников за предыдущий квартал без учета работников представительств и филиалов работодателя, расположенных в других субъектах Российской Федерации.</w:t>
      </w:r>
    </w:p>
    <w:p w14:paraId="24000000">
      <w:pPr>
        <w:pStyle w:val="Style_12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 Находящимся на территории Ростовской области </w:t>
      </w:r>
      <w:r>
        <w:rPr>
          <w:color w:val="000000"/>
          <w:sz w:val="28"/>
        </w:rPr>
        <w:t xml:space="preserve">представительствам </w:t>
      </w:r>
      <w:r>
        <w:rPr>
          <w:color w:val="000000"/>
          <w:sz w:val="28"/>
        </w:rPr>
        <w:t xml:space="preserve">и филиалам </w:t>
      </w:r>
      <w:r>
        <w:rPr>
          <w:color w:val="000000"/>
          <w:sz w:val="28"/>
        </w:rPr>
        <w:t xml:space="preserve">работодателей, расположенных в других субъектах Российской Федерации, устанавливается квота для приема на работу инвалидов в соответствии с </w:t>
      </w:r>
      <w:r>
        <w:rPr>
          <w:rStyle w:val="Style_13_ch"/>
          <w:color w:val="000000"/>
          <w:sz w:val="28"/>
          <w:u w:val="none"/>
        </w:rPr>
        <w:fldChar w:fldCharType="begin"/>
      </w:r>
      <w:r>
        <w:rPr>
          <w:rStyle w:val="Style_13_ch"/>
          <w:color w:val="000000"/>
          <w:sz w:val="28"/>
          <w:u w:val="none"/>
        </w:rPr>
        <w:instrText>HYPERLINK "https://login.consultant.ru/link/?req=doc&amp;base=RLAW186&amp;n=121341&amp;dst=100055&amp;field=134&amp;date=03.09.2024"</w:instrText>
      </w:r>
      <w:r>
        <w:rPr>
          <w:rStyle w:val="Style_13_ch"/>
          <w:color w:val="000000"/>
          <w:sz w:val="28"/>
          <w:u w:val="none"/>
        </w:rPr>
        <w:fldChar w:fldCharType="separate"/>
      </w:r>
      <w:r>
        <w:rPr>
          <w:rStyle w:val="Style_13_ch"/>
          <w:color w:val="000000"/>
          <w:sz w:val="28"/>
          <w:u w:val="none"/>
        </w:rPr>
        <w:t>частью 1</w:t>
      </w:r>
      <w:r>
        <w:rPr>
          <w:rStyle w:val="Style_13_ch"/>
          <w:color w:val="000000"/>
          <w:sz w:val="28"/>
          <w:u w:val="none"/>
        </w:rPr>
        <w:fldChar w:fldCharType="end"/>
      </w:r>
      <w:r>
        <w:rPr>
          <w:color w:val="000000"/>
          <w:sz w:val="28"/>
        </w:rPr>
        <w:t xml:space="preserve"> настоящей статьи исходя из среднесписочной численности работников та</w:t>
      </w:r>
      <w:r>
        <w:rPr>
          <w:color w:val="000000"/>
          <w:sz w:val="28"/>
        </w:rPr>
        <w:t xml:space="preserve">ких </w:t>
      </w:r>
      <w:r>
        <w:rPr>
          <w:color w:val="000000"/>
          <w:sz w:val="28"/>
        </w:rPr>
        <w:t xml:space="preserve">представительств и филиалов </w:t>
      </w:r>
      <w:r>
        <w:rPr>
          <w:color w:val="000000"/>
          <w:sz w:val="28"/>
        </w:rPr>
        <w:t>за предыдущий квартал.</w:t>
      </w:r>
    </w:p>
    <w:p w14:paraId="25000000">
      <w:pPr>
        <w:pStyle w:val="Style_12"/>
        <w:spacing w:line="240" w:lineRule="atLeast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4. При исчислении квоты для приема на работу инвалидов в среднесписочную численность работников не включаются работники, условия </w:t>
      </w:r>
      <w:r>
        <w:rPr>
          <w:color w:val="000000"/>
          <w:sz w:val="28"/>
        </w:rPr>
        <w:t>труда</w:t>
      </w:r>
      <w:r>
        <w:rPr>
          <w:color w:val="000000"/>
          <w:sz w:val="28"/>
        </w:rPr>
        <w:t xml:space="preserve"> на рабочих местах которых отнесены к вредным и (или) опасным </w:t>
      </w:r>
      <w:r>
        <w:rPr>
          <w:rStyle w:val="Style_13_ch"/>
          <w:color w:val="000000"/>
          <w:sz w:val="28"/>
          <w:u w:val="none"/>
        </w:rPr>
        <w:fldChar w:fldCharType="begin"/>
      </w:r>
      <w:r>
        <w:rPr>
          <w:rStyle w:val="Style_13_ch"/>
          <w:color w:val="000000"/>
          <w:sz w:val="28"/>
          <w:u w:val="none"/>
        </w:rPr>
        <w:instrText>HYPERLINK "https://login.consultant.ru/link/?req=doc&amp;base=LAW&amp;n=452984&amp;dst=100158&amp;field=134&amp;date=03.09.2024"</w:instrText>
      </w:r>
      <w:r>
        <w:rPr>
          <w:rStyle w:val="Style_13_ch"/>
          <w:color w:val="000000"/>
          <w:sz w:val="28"/>
          <w:u w:val="none"/>
        </w:rPr>
        <w:fldChar w:fldCharType="separate"/>
      </w:r>
      <w:r>
        <w:rPr>
          <w:rStyle w:val="Style_13_ch"/>
          <w:color w:val="000000"/>
          <w:sz w:val="28"/>
          <w:u w:val="none"/>
        </w:rPr>
        <w:t>условиям</w:t>
      </w:r>
      <w:r>
        <w:rPr>
          <w:rStyle w:val="Style_13_ch"/>
          <w:color w:val="000000"/>
          <w:sz w:val="28"/>
          <w:u w:val="none"/>
        </w:rPr>
        <w:fldChar w:fldCharType="end"/>
      </w:r>
      <w:r>
        <w:rPr>
          <w:color w:val="000000"/>
          <w:sz w:val="28"/>
        </w:rPr>
        <w:t xml:space="preserve"> труда по результатам специальной оценки условий труда.</w:t>
      </w:r>
    </w:p>
    <w:p w14:paraId="26000000">
      <w:pPr>
        <w:pStyle w:val="Style_12"/>
        <w:spacing w:line="240" w:lineRule="atLeast"/>
        <w:ind w:firstLine="451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  </w:t>
      </w:r>
      <w:r>
        <w:rPr>
          <w:color w:val="000000"/>
          <w:sz w:val="28"/>
        </w:rPr>
        <w:t xml:space="preserve">5. </w:t>
      </w:r>
      <w:r>
        <w:rPr>
          <w:sz w:val="28"/>
        </w:rPr>
        <w:t xml:space="preserve">Выполнение работодателем установленной квоты </w:t>
      </w:r>
      <w:r>
        <w:rPr>
          <w:color w:val="000000"/>
          <w:sz w:val="28"/>
        </w:rPr>
        <w:t xml:space="preserve">для приема на работу инвалидов </w:t>
      </w:r>
      <w:r>
        <w:rPr>
          <w:sz w:val="28"/>
        </w:rPr>
        <w:t xml:space="preserve">обеспечивается в </w:t>
      </w:r>
      <w:r>
        <w:rPr>
          <w:sz w:val="28"/>
        </w:rPr>
        <w:t xml:space="preserve">соответствии с порядком, установленным Правительством Российской Федерации, в </w:t>
      </w:r>
      <w:r>
        <w:rPr>
          <w:sz w:val="28"/>
        </w:rPr>
        <w:t>случаях наличия:</w:t>
      </w:r>
    </w:p>
    <w:p w14:paraId="27000000">
      <w:pPr>
        <w:pStyle w:val="Style_12"/>
        <w:spacing w:line="276" w:lineRule="auto"/>
        <w:ind w:firstLine="709" w:left="0"/>
        <w:jc w:val="both"/>
        <w:rPr>
          <w:sz w:val="28"/>
        </w:rPr>
      </w:pPr>
      <w:r>
        <w:rPr>
          <w:sz w:val="28"/>
        </w:rPr>
        <w:t>заключенного трудового договора с инвалидом на рабочее место непосредственно у работодателя;</w:t>
      </w:r>
    </w:p>
    <w:p w14:paraId="28000000">
      <w:pPr>
        <w:pStyle w:val="Style_12"/>
        <w:spacing w:line="276" w:lineRule="auto"/>
        <w:ind w:firstLine="709" w:left="0"/>
        <w:jc w:val="both"/>
        <w:rPr>
          <w:sz w:val="28"/>
        </w:rPr>
      </w:pPr>
      <w:r>
        <w:rPr>
          <w:sz w:val="28"/>
        </w:rPr>
        <w:t>заключенного трудового договора между инвалидом и иной организацией, включая общественные объединения инвалидов и образованные ими организации, в том числе хозяйственные товарищества и общества, уставный (складочный) капитал которых состоит из вклада общественного объединения инвалидов  (далее - иная организация), заключившей соглашение о трудоустройст</w:t>
      </w:r>
      <w:r>
        <w:rPr>
          <w:sz w:val="28"/>
        </w:rPr>
        <w:t>ве инвалидов</w:t>
      </w:r>
      <w:r>
        <w:rPr>
          <w:sz w:val="28"/>
        </w:rPr>
        <w:t xml:space="preserve"> с работодателем, которому установлена квота </w:t>
      </w:r>
      <w:r>
        <w:rPr>
          <w:color w:val="000000"/>
          <w:sz w:val="28"/>
        </w:rPr>
        <w:t>для приема на работу инвалидов</w:t>
      </w:r>
      <w:r>
        <w:rPr>
          <w:color w:val="000000"/>
          <w:sz w:val="28"/>
        </w:rPr>
        <w:t xml:space="preserve"> (далее - соглашение)</w:t>
      </w:r>
      <w:r>
        <w:rPr>
          <w:sz w:val="28"/>
        </w:rPr>
        <w:t>;</w:t>
      </w:r>
    </w:p>
    <w:p w14:paraId="29000000">
      <w:pPr>
        <w:pStyle w:val="Style_12"/>
        <w:spacing w:line="276" w:lineRule="auto"/>
        <w:ind w:firstLine="709" w:left="0"/>
        <w:jc w:val="both"/>
        <w:rPr>
          <w:sz w:val="28"/>
        </w:rPr>
      </w:pPr>
      <w:r>
        <w:rPr>
          <w:sz w:val="28"/>
        </w:rPr>
        <w:t>заключенного трудового договора между инвалидом и индивидуальным предпринимателем, заключившим соглашение;</w:t>
      </w:r>
    </w:p>
    <w:p w14:paraId="2A000000">
      <w:pPr>
        <w:pStyle w:val="Style_12"/>
        <w:spacing w:line="276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договора возмездного оказания услуг или иного договора с организацией, обеспечивающей для группы организаций выполнение </w:t>
      </w:r>
      <w:r>
        <w:rPr>
          <w:sz w:val="28"/>
        </w:rPr>
        <w:t xml:space="preserve">установленной </w:t>
      </w:r>
      <w:r>
        <w:rPr>
          <w:sz w:val="28"/>
        </w:rPr>
        <w:t>квоты</w:t>
      </w:r>
      <w:r>
        <w:rPr>
          <w:sz w:val="28"/>
        </w:rPr>
        <w:t xml:space="preserve"> для приема на работу инвалидов</w:t>
      </w:r>
      <w:r>
        <w:rPr>
          <w:sz w:val="28"/>
        </w:rPr>
        <w:t xml:space="preserve"> посредством заключения соглашения с иной организацией или индивидуальным предпринимателем, заключенного трудового договора между инвалидом и иной организацией, ин</w:t>
      </w:r>
      <w:r>
        <w:rPr>
          <w:sz w:val="28"/>
        </w:rPr>
        <w:t>дивидуальным предпринимателем.</w:t>
      </w:r>
    </w:p>
    <w:p w14:paraId="2B000000">
      <w:pPr>
        <w:pStyle w:val="Style_12"/>
        <w:spacing w:line="276" w:lineRule="auto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6. Трудоустройство инвалидов в соответствии  с соглашением</w:t>
      </w:r>
      <w:r>
        <w:rPr>
          <w:color w:val="000000"/>
          <w:sz w:val="28"/>
        </w:rPr>
        <w:t>, предусмотренным абз</w:t>
      </w:r>
      <w:r>
        <w:rPr>
          <w:color w:val="000000"/>
          <w:sz w:val="28"/>
        </w:rPr>
        <w:t xml:space="preserve">ацем третьим части 5 настоящей статьи, должно осуществляться на территории Ростовской области по месту нахождения работодателя (его представительства, филиала).  </w:t>
      </w:r>
    </w:p>
    <w:p w14:paraId="2C000000">
      <w:pPr>
        <w:pStyle w:val="Style_12"/>
        <w:spacing w:line="276" w:lineRule="auto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7.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Количество специальных рабочих мест для трудоустройства инвалидов устанавливается Правительством Ростовской области для каждого работодателя в пределах установленной квоты для приема на работу инвалидов, в соответствии </w:t>
      </w:r>
      <w:r>
        <w:rPr>
          <w:color w:val="000000"/>
          <w:sz w:val="28"/>
        </w:rPr>
        <w:t>со статьей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39 Федерального закона от 12 декабря </w:t>
      </w:r>
      <w:r>
        <w:rPr>
          <w:color w:val="000000"/>
          <w:sz w:val="28"/>
        </w:rPr>
        <w:t>2023</w:t>
      </w:r>
      <w:r>
        <w:rPr>
          <w:color w:val="000000"/>
          <w:sz w:val="28"/>
        </w:rPr>
        <w:t xml:space="preserve"> года</w:t>
      </w:r>
      <w:r>
        <w:rPr>
          <w:color w:val="000000"/>
          <w:sz w:val="28"/>
        </w:rPr>
        <w:t xml:space="preserve"> № 565-ФЗ «О занятости населения в Российской Федерации»</w:t>
      </w:r>
      <w:r>
        <w:rPr>
          <w:color w:val="000000"/>
          <w:sz w:val="28"/>
        </w:rPr>
        <w:t>.»</w:t>
      </w:r>
      <w:r>
        <w:rPr>
          <w:color w:val="000000"/>
          <w:sz w:val="28"/>
        </w:rPr>
        <w:t>.</w:t>
      </w:r>
    </w:p>
    <w:p w14:paraId="2D000000">
      <w:pPr>
        <w:pStyle w:val="Style_12"/>
        <w:spacing w:line="360" w:lineRule="exact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4</w:t>
      </w:r>
      <w:r>
        <w:rPr>
          <w:color w:val="000000"/>
          <w:sz w:val="28"/>
        </w:rPr>
        <w:t>) статью 5 изложить в следующей редакции:</w:t>
      </w:r>
    </w:p>
    <w:p w14:paraId="2E000000">
      <w:pPr>
        <w:pStyle w:val="Style_12"/>
        <w:spacing w:line="360" w:lineRule="exact"/>
        <w:ind w:firstLine="451" w:left="0"/>
        <w:jc w:val="both"/>
        <w:rPr>
          <w:color w:val="000000"/>
          <w:sz w:val="28"/>
        </w:rPr>
      </w:pPr>
      <w:r>
        <w:rPr>
          <w:sz w:val="28"/>
        </w:rPr>
        <w:t xml:space="preserve"> «Статья 5.</w:t>
      </w:r>
      <w:r>
        <w:rPr>
          <w:b w:val="1"/>
          <w:sz w:val="28"/>
        </w:rPr>
        <w:t xml:space="preserve"> </w:t>
      </w:r>
      <w:r>
        <w:rPr>
          <w:b w:val="1"/>
          <w:color w:val="000000"/>
          <w:sz w:val="28"/>
        </w:rPr>
        <w:t>П</w:t>
      </w:r>
      <w:r>
        <w:rPr>
          <w:b w:val="1"/>
          <w:color w:val="000000"/>
          <w:sz w:val="28"/>
        </w:rPr>
        <w:t>рав</w:t>
      </w:r>
      <w:r>
        <w:rPr>
          <w:b w:val="1"/>
          <w:color w:val="000000"/>
          <w:sz w:val="28"/>
        </w:rPr>
        <w:t>а и обязанности</w:t>
      </w:r>
      <w:r>
        <w:rPr>
          <w:b w:val="1"/>
          <w:color w:val="000000"/>
          <w:sz w:val="28"/>
        </w:rPr>
        <w:t xml:space="preserve"> работодател</w:t>
      </w:r>
      <w:r>
        <w:rPr>
          <w:b w:val="1"/>
          <w:color w:val="000000"/>
          <w:sz w:val="28"/>
        </w:rPr>
        <w:t>ей</w:t>
      </w:r>
    </w:p>
    <w:p w14:paraId="2F000000">
      <w:pPr>
        <w:pStyle w:val="Style_14"/>
        <w:spacing w:line="360" w:lineRule="exact"/>
        <w:ind w:firstLine="451" w:left="0"/>
        <w:jc w:val="both"/>
        <w:outlineLvl w:val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Права и</w:t>
      </w:r>
      <w:r>
        <w:rPr>
          <w:rFonts w:ascii="Times New Roman" w:hAnsi="Times New Roman"/>
          <w:b w:val="0"/>
          <w:sz w:val="28"/>
        </w:rPr>
        <w:t xml:space="preserve"> обязанности работодателей в обеспечении занятости инвалидов устанавливаются законодательством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Российской Федерации.».</w:t>
      </w:r>
    </w:p>
    <w:p w14:paraId="30000000">
      <w:pPr>
        <w:pStyle w:val="Style_14"/>
        <w:spacing w:line="276" w:lineRule="auto"/>
        <w:ind w:firstLine="451" w:left="0"/>
        <w:jc w:val="both"/>
        <w:outlineLvl w:val="0"/>
        <w:rPr>
          <w:rFonts w:ascii="Times New Roman" w:hAnsi="Times New Roman"/>
          <w:b w:val="0"/>
          <w:sz w:val="28"/>
        </w:rPr>
      </w:pPr>
    </w:p>
    <w:p w14:paraId="31000000">
      <w:pPr>
        <w:pStyle w:val="Style_14"/>
        <w:spacing w:line="276" w:lineRule="auto"/>
        <w:ind w:firstLine="709" w:left="0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Статья 2</w:t>
      </w:r>
    </w:p>
    <w:p w14:paraId="32000000">
      <w:pPr>
        <w:pStyle w:val="Style_14"/>
        <w:spacing w:line="276" w:lineRule="auto"/>
        <w:ind w:firstLine="709" w:left="0"/>
        <w:jc w:val="both"/>
        <w:outlineLvl w:val="0"/>
        <w:rPr>
          <w:rFonts w:ascii="Times New Roman" w:hAnsi="Times New Roman"/>
          <w:sz w:val="28"/>
        </w:rPr>
      </w:pPr>
    </w:p>
    <w:p w14:paraId="33000000">
      <w:pPr>
        <w:pStyle w:val="Style_15"/>
        <w:spacing w:line="276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Настоящий Областной закон вступае</w:t>
      </w:r>
      <w:r>
        <w:rPr>
          <w:rFonts w:ascii="Times New Roman" w:hAnsi="Times New Roman"/>
          <w:sz w:val="28"/>
        </w:rPr>
        <w:t>т в силу со дня его официального опубликования</w:t>
      </w:r>
      <w:r>
        <w:rPr>
          <w:rFonts w:ascii="Times New Roman" w:hAnsi="Times New Roman"/>
          <w:sz w:val="28"/>
        </w:rPr>
        <w:t>.</w:t>
      </w:r>
    </w:p>
    <w:p w14:paraId="34000000">
      <w:pPr>
        <w:pStyle w:val="Style_15"/>
        <w:spacing w:line="276" w:lineRule="auto"/>
        <w:ind w:firstLine="540" w:left="0"/>
        <w:jc w:val="both"/>
        <w:rPr>
          <w:rFonts w:ascii="Times New Roman" w:hAnsi="Times New Roman"/>
        </w:rPr>
      </w:pPr>
    </w:p>
    <w:p w14:paraId="35000000">
      <w:pPr>
        <w:pStyle w:val="Style_15"/>
        <w:spacing w:line="276" w:lineRule="auto"/>
        <w:ind w:firstLine="540" w:left="0"/>
        <w:jc w:val="both"/>
        <w:rPr>
          <w:rFonts w:ascii="Times New Roman" w:hAnsi="Times New Roman"/>
        </w:rPr>
      </w:pPr>
    </w:p>
    <w:p w14:paraId="36000000">
      <w:pPr>
        <w:pStyle w:val="Style_15"/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</w:rPr>
        <w:t>Губернатор</w:t>
      </w:r>
    </w:p>
    <w:p w14:paraId="37000000">
      <w:pPr>
        <w:pStyle w:val="Style_15"/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Ростовской области                                                     </w:t>
      </w:r>
      <w:r>
        <w:rPr>
          <w:rFonts w:ascii="Times New Roman" w:hAnsi="Times New Roman"/>
          <w:sz w:val="28"/>
        </w:rPr>
        <w:t xml:space="preserve">                           </w:t>
      </w:r>
      <w:r>
        <w:rPr>
          <w:rFonts w:ascii="Times New Roman" w:hAnsi="Times New Roman"/>
          <w:sz w:val="28"/>
        </w:rPr>
        <w:t xml:space="preserve">   В.Ю.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Голубев</w:t>
      </w:r>
    </w:p>
    <w:p w14:paraId="38000000">
      <w:pPr>
        <w:pStyle w:val="Style_15"/>
        <w:ind w:firstLine="0" w:left="0"/>
        <w:rPr>
          <w:rFonts w:ascii="Times New Roman" w:hAnsi="Times New Roman"/>
        </w:rPr>
      </w:pPr>
    </w:p>
    <w:p w14:paraId="39000000">
      <w:pPr>
        <w:pStyle w:val="Style_15"/>
        <w:ind w:firstLine="0" w:left="0"/>
        <w:rPr>
          <w:rFonts w:ascii="Times New Roman" w:hAnsi="Times New Roman"/>
        </w:rPr>
      </w:pPr>
    </w:p>
    <w:p w14:paraId="3A000000">
      <w:pPr>
        <w:pStyle w:val="Style_15"/>
        <w:ind w:firstLine="0" w:left="0"/>
        <w:rPr>
          <w:rFonts w:ascii="Times New Roman" w:hAnsi="Times New Roman"/>
        </w:rPr>
      </w:pPr>
    </w:p>
    <w:p w14:paraId="3B000000">
      <w:pPr>
        <w:pStyle w:val="Style_15"/>
        <w:ind w:firstLine="0" w:left="0"/>
        <w:rPr>
          <w:rFonts w:ascii="Times New Roman" w:hAnsi="Times New Roman"/>
        </w:rPr>
      </w:pPr>
    </w:p>
    <w:p w14:paraId="3C000000">
      <w:pPr>
        <w:pStyle w:val="Style_15"/>
        <w:ind w:firstLine="0" w:left="0"/>
        <w:rPr>
          <w:rFonts w:ascii="Times New Roman" w:hAnsi="Times New Roman"/>
        </w:rPr>
      </w:pPr>
    </w:p>
    <w:p w14:paraId="3D000000">
      <w:pPr>
        <w:pStyle w:val="Style_15"/>
        <w:ind w:firstLine="0" w:left="0"/>
        <w:rPr>
          <w:rFonts w:ascii="Times New Roman" w:hAnsi="Times New Roman"/>
        </w:rPr>
      </w:pPr>
    </w:p>
    <w:p w14:paraId="3E000000">
      <w:pPr>
        <w:pStyle w:val="Style_15"/>
        <w:ind w:firstLine="0" w:left="0"/>
        <w:rPr>
          <w:rFonts w:ascii="Times New Roman" w:hAnsi="Times New Roman"/>
        </w:rPr>
      </w:pPr>
    </w:p>
    <w:p w14:paraId="3F000000">
      <w:pPr>
        <w:pStyle w:val="Style_15"/>
        <w:ind w:firstLine="0" w:left="0"/>
        <w:rPr>
          <w:rFonts w:ascii="Times New Roman" w:hAnsi="Times New Roman"/>
        </w:rPr>
      </w:pPr>
    </w:p>
    <w:p w14:paraId="40000000">
      <w:pPr>
        <w:pStyle w:val="Style_15"/>
        <w:ind w:firstLine="0" w:left="0"/>
        <w:rPr>
          <w:rFonts w:ascii="Times New Roman" w:hAnsi="Times New Roman"/>
        </w:rPr>
      </w:pPr>
    </w:p>
    <w:p w14:paraId="41000000">
      <w:pPr>
        <w:pStyle w:val="Style_15"/>
        <w:ind w:firstLine="0" w:left="0"/>
        <w:rPr>
          <w:rFonts w:ascii="Times New Roman" w:hAnsi="Times New Roman"/>
        </w:rPr>
      </w:pPr>
    </w:p>
    <w:p w14:paraId="42000000">
      <w:pPr>
        <w:pStyle w:val="Style_15"/>
        <w:ind w:firstLine="0" w:left="0"/>
        <w:rPr>
          <w:rFonts w:ascii="Times New Roman" w:hAnsi="Times New Roman"/>
        </w:rPr>
      </w:pPr>
    </w:p>
    <w:p w14:paraId="43000000">
      <w:pPr>
        <w:pStyle w:val="Style_15"/>
        <w:ind w:firstLine="0" w:left="0"/>
        <w:rPr>
          <w:rFonts w:ascii="Times New Roman" w:hAnsi="Times New Roman"/>
        </w:rPr>
      </w:pPr>
    </w:p>
    <w:p w14:paraId="44000000">
      <w:pPr>
        <w:pStyle w:val="Style_15"/>
        <w:ind w:firstLine="0" w:left="0"/>
        <w:rPr>
          <w:rFonts w:ascii="Times New Roman" w:hAnsi="Times New Roman"/>
        </w:rPr>
      </w:pPr>
    </w:p>
    <w:p w14:paraId="45000000">
      <w:pPr>
        <w:pStyle w:val="Style_15"/>
        <w:ind w:firstLine="0" w:left="0"/>
        <w:rPr>
          <w:rFonts w:ascii="Times New Roman" w:hAnsi="Times New Roman"/>
        </w:rPr>
      </w:pPr>
    </w:p>
    <w:p w14:paraId="46000000">
      <w:pPr>
        <w:pStyle w:val="Style_15"/>
        <w:ind w:firstLine="0" w:left="0"/>
        <w:rPr>
          <w:rFonts w:ascii="Times New Roman" w:hAnsi="Times New Roman"/>
        </w:rPr>
      </w:pPr>
    </w:p>
    <w:p w14:paraId="47000000">
      <w:pPr>
        <w:pStyle w:val="Style_15"/>
        <w:ind w:firstLine="0" w:left="0"/>
        <w:rPr>
          <w:rFonts w:ascii="Times New Roman" w:hAnsi="Times New Roman"/>
        </w:rPr>
      </w:pPr>
    </w:p>
    <w:p w14:paraId="48000000">
      <w:pPr>
        <w:pStyle w:val="Style_15"/>
        <w:ind w:firstLine="0" w:left="0"/>
        <w:rPr>
          <w:rFonts w:ascii="Times New Roman" w:hAnsi="Times New Roman"/>
        </w:rPr>
      </w:pPr>
    </w:p>
    <w:p w14:paraId="49000000">
      <w:pPr>
        <w:pStyle w:val="Style_15"/>
        <w:ind w:firstLine="0" w:left="0"/>
        <w:rPr>
          <w:rFonts w:ascii="Times New Roman" w:hAnsi="Times New Roman"/>
        </w:rPr>
      </w:pPr>
    </w:p>
    <w:p w14:paraId="4A000000">
      <w:pPr>
        <w:pStyle w:val="Style_15"/>
        <w:ind w:firstLine="0" w:left="0"/>
        <w:rPr>
          <w:rFonts w:ascii="Times New Roman" w:hAnsi="Times New Roman"/>
        </w:rPr>
      </w:pPr>
    </w:p>
    <w:p w14:paraId="4B000000">
      <w:pPr>
        <w:pStyle w:val="Style_15"/>
        <w:ind w:firstLine="0" w:left="0"/>
        <w:rPr>
          <w:rFonts w:ascii="Times New Roman" w:hAnsi="Times New Roman"/>
        </w:rPr>
      </w:pPr>
    </w:p>
    <w:p w14:paraId="4C000000">
      <w:pPr>
        <w:pStyle w:val="Style_15"/>
        <w:ind w:firstLine="0" w:left="0"/>
        <w:rPr>
          <w:rFonts w:ascii="Times New Roman" w:hAnsi="Times New Roman"/>
        </w:rPr>
      </w:pPr>
    </w:p>
    <w:p w14:paraId="4D000000">
      <w:pPr>
        <w:pStyle w:val="Style_15"/>
        <w:ind w:firstLine="0" w:left="0"/>
        <w:rPr>
          <w:rFonts w:ascii="Times New Roman" w:hAnsi="Times New Roman"/>
        </w:rPr>
      </w:pPr>
    </w:p>
    <w:p w14:paraId="4E000000">
      <w:pPr>
        <w:pStyle w:val="Style_15"/>
        <w:ind w:firstLine="0" w:left="0"/>
        <w:rPr>
          <w:rFonts w:ascii="Times New Roman" w:hAnsi="Times New Roman"/>
        </w:rPr>
      </w:pPr>
    </w:p>
    <w:p w14:paraId="4F000000">
      <w:pPr>
        <w:pStyle w:val="Style_15"/>
        <w:ind w:firstLine="0" w:left="0"/>
        <w:rPr>
          <w:rFonts w:ascii="Times New Roman" w:hAnsi="Times New Roman"/>
        </w:rPr>
      </w:pPr>
    </w:p>
    <w:p w14:paraId="50000000">
      <w:pPr>
        <w:pStyle w:val="Style_15"/>
        <w:ind w:firstLine="0" w:left="0"/>
        <w:rPr>
          <w:rFonts w:ascii="Times New Roman" w:hAnsi="Times New Roman"/>
        </w:rPr>
      </w:pPr>
    </w:p>
    <w:p w14:paraId="51000000">
      <w:pPr>
        <w:pStyle w:val="Style_15"/>
        <w:ind w:firstLine="0" w:left="0"/>
        <w:rPr>
          <w:rFonts w:ascii="Times New Roman" w:hAnsi="Times New Roman"/>
        </w:rPr>
      </w:pPr>
    </w:p>
    <w:p w14:paraId="52000000">
      <w:pPr>
        <w:pStyle w:val="Style_15"/>
        <w:ind w:firstLine="0" w:left="0"/>
        <w:rPr>
          <w:rFonts w:ascii="Times New Roman" w:hAnsi="Times New Roman"/>
        </w:rPr>
      </w:pPr>
    </w:p>
    <w:p w14:paraId="53000000">
      <w:pPr>
        <w:pStyle w:val="Style_15"/>
        <w:ind w:firstLine="0" w:left="0"/>
        <w:rPr>
          <w:rFonts w:ascii="Times New Roman" w:hAnsi="Times New Roman"/>
        </w:rPr>
      </w:pPr>
    </w:p>
    <w:p w14:paraId="54000000">
      <w:pPr>
        <w:pStyle w:val="Style_15"/>
        <w:ind w:firstLine="0" w:left="0"/>
        <w:rPr>
          <w:rFonts w:ascii="Times New Roman" w:hAnsi="Times New Roman"/>
        </w:rPr>
      </w:pPr>
    </w:p>
    <w:p w14:paraId="55000000">
      <w:pPr>
        <w:pStyle w:val="Style_15"/>
        <w:ind w:firstLine="0" w:left="0"/>
        <w:rPr>
          <w:rFonts w:ascii="Times New Roman" w:hAnsi="Times New Roman"/>
        </w:rPr>
      </w:pPr>
    </w:p>
    <w:p w14:paraId="56000000">
      <w:pPr>
        <w:pStyle w:val="Style_15"/>
        <w:ind w:firstLine="0" w:left="0"/>
        <w:rPr>
          <w:rFonts w:ascii="Times New Roman" w:hAnsi="Times New Roman"/>
        </w:rPr>
      </w:pPr>
      <w:r>
        <w:rPr>
          <w:rFonts w:ascii="Times New Roman" w:hAnsi="Times New Roman"/>
        </w:rPr>
        <w:t>Начальник управления</w:t>
      </w:r>
      <w:r>
        <w:rPr>
          <w:rFonts w:ascii="Times New Roman" w:hAnsi="Times New Roman"/>
        </w:rPr>
        <w:t xml:space="preserve"> </w:t>
      </w:r>
    </w:p>
    <w:p w14:paraId="57000000">
      <w:pPr>
        <w:pStyle w:val="Style_15"/>
        <w:ind w:firstLine="0" w:left="0"/>
        <w:rPr>
          <w:rFonts w:ascii="Times New Roman" w:hAnsi="Times New Roman"/>
        </w:rPr>
      </w:pPr>
      <w:r>
        <w:rPr>
          <w:rFonts w:ascii="Times New Roman" w:hAnsi="Times New Roman"/>
        </w:rPr>
        <w:t>государственной службы</w:t>
      </w:r>
    </w:p>
    <w:p w14:paraId="58000000">
      <w:pPr>
        <w:pStyle w:val="Style_15"/>
        <w:ind w:firstLine="0" w:left="0"/>
        <w:rPr>
          <w:rFonts w:ascii="Times New Roman" w:hAnsi="Times New Roman"/>
        </w:rPr>
      </w:pPr>
      <w:r>
        <w:rPr>
          <w:rFonts w:ascii="Times New Roman" w:hAnsi="Times New Roman"/>
        </w:rPr>
        <w:t>занятости населения</w:t>
      </w:r>
    </w:p>
    <w:p w14:paraId="59000000">
      <w:pPr>
        <w:pStyle w:val="Style_15"/>
        <w:ind w:firstLine="0" w:left="0"/>
        <w:rPr>
          <w:rFonts w:ascii="Times New Roman" w:hAnsi="Times New Roman"/>
        </w:rPr>
      </w:pPr>
      <w:r>
        <w:rPr>
          <w:rFonts w:ascii="Times New Roman" w:hAnsi="Times New Roman"/>
        </w:rPr>
        <w:t>Ростовской области                                                                                                          С.Р. Григорян</w:t>
      </w:r>
    </w:p>
    <w:sectPr>
      <w:headerReference r:id="rId1" w:type="default"/>
      <w:pgSz w:h="16838" w:orient="portrait" w:w="11906"/>
      <w:pgMar w:bottom="1135" w:footer="720" w:gutter="0" w:header="425" w:left="1134" w:right="851" w:top="993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ind/>
      <w:jc w:val="center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t xml:space="preserve"> </w:t>
    </w:r>
    <w:r>
      <w:rPr>
        <w:rStyle w:val="Style_1_ch"/>
      </w:rPr>
      <w:fldChar w:fldCharType="end"/>
    </w:r>
  </w:p>
  <w:p w14:paraId="02000000">
    <w:pPr>
      <w:pStyle w:val="Style_2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lvlJc w:val="left"/>
      <w:pPr>
        <w:ind w:hanging="360" w:left="1069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6" w:type="paragraph">
    <w:name w:val="Normal"/>
    <w:link w:val="Style_16_ch"/>
    <w:uiPriority w:val="0"/>
    <w:qFormat/>
    <w:pPr>
      <w:ind w:firstLine="720" w:left="0"/>
      <w:jc w:val="both"/>
    </w:pPr>
    <w:rPr>
      <w:sz w:val="28"/>
    </w:rPr>
  </w:style>
  <w:style w:default="1" w:styleId="Style_16_ch" w:type="character">
    <w:name w:val="Normal"/>
    <w:link w:val="Style_16"/>
    <w:rPr>
      <w:sz w:val="28"/>
    </w:rPr>
  </w:style>
  <w:style w:styleId="Style_2" w:type="paragraph">
    <w:name w:val="header"/>
    <w:basedOn w:val="Style_1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header"/>
    <w:basedOn w:val="Style_16_ch"/>
    <w:link w:val="Style_2"/>
  </w:style>
  <w:style w:styleId="Style_17" w:type="paragraph">
    <w:name w:val="Обычный1"/>
    <w:link w:val="Style_17_ch"/>
    <w:rPr>
      <w:color w:val="000000"/>
      <w:sz w:val="28"/>
    </w:rPr>
  </w:style>
  <w:style w:styleId="Style_17_ch" w:type="character">
    <w:name w:val="Обычный1"/>
    <w:link w:val="Style_17"/>
    <w:rPr>
      <w:color w:val="000000"/>
      <w:sz w:val="28"/>
    </w:rPr>
  </w:style>
  <w:style w:styleId="Style_18" w:type="paragraph">
    <w:name w:val="toc 2"/>
    <w:next w:val="Style_16"/>
    <w:link w:val="Style_18_ch"/>
    <w:uiPriority w:val="39"/>
    <w:pPr>
      <w:spacing w:line="360" w:lineRule="auto"/>
      <w:ind w:firstLine="0" w:left="200"/>
    </w:pPr>
    <w:rPr>
      <w:rFonts w:ascii="XO Thames" w:hAnsi="XO Thames"/>
      <w:sz w:val="28"/>
    </w:rPr>
  </w:style>
  <w:style w:styleId="Style_18_ch" w:type="character">
    <w:name w:val="toc 2"/>
    <w:link w:val="Style_18"/>
    <w:rPr>
      <w:rFonts w:ascii="XO Thames" w:hAnsi="XO Thames"/>
      <w:sz w:val="28"/>
    </w:rPr>
  </w:style>
  <w:style w:styleId="Style_19" w:type="paragraph">
    <w:name w:val="toc 4"/>
    <w:next w:val="Style_16"/>
    <w:link w:val="Style_19_ch"/>
    <w:uiPriority w:val="39"/>
    <w:pPr>
      <w:spacing w:line="360" w:lineRule="auto"/>
      <w:ind w:firstLine="0" w:left="600"/>
    </w:pPr>
    <w:rPr>
      <w:rFonts w:ascii="XO Thames" w:hAnsi="XO Thames"/>
      <w:sz w:val="28"/>
    </w:rPr>
  </w:style>
  <w:style w:styleId="Style_19_ch" w:type="character">
    <w:name w:val="toc 4"/>
    <w:link w:val="Style_19"/>
    <w:rPr>
      <w:rFonts w:ascii="XO Thames" w:hAnsi="XO Thames"/>
      <w:sz w:val="28"/>
    </w:rPr>
  </w:style>
  <w:style w:styleId="Style_20" w:type="paragraph">
    <w:name w:val="toc 6"/>
    <w:next w:val="Style_16"/>
    <w:link w:val="Style_20_ch"/>
    <w:uiPriority w:val="39"/>
    <w:pPr>
      <w:spacing w:line="360" w:lineRule="auto"/>
      <w:ind w:firstLine="0" w:left="1000"/>
    </w:pPr>
    <w:rPr>
      <w:rFonts w:ascii="XO Thames" w:hAnsi="XO Thames"/>
      <w:sz w:val="28"/>
    </w:rPr>
  </w:style>
  <w:style w:styleId="Style_20_ch" w:type="character">
    <w:name w:val="toc 6"/>
    <w:link w:val="Style_20"/>
    <w:rPr>
      <w:rFonts w:ascii="XO Thames" w:hAnsi="XO Thames"/>
      <w:sz w:val="28"/>
    </w:rPr>
  </w:style>
  <w:style w:styleId="Style_21" w:type="paragraph">
    <w:name w:val="toc 7"/>
    <w:next w:val="Style_16"/>
    <w:link w:val="Style_21_ch"/>
    <w:uiPriority w:val="39"/>
    <w:pPr>
      <w:spacing w:line="360" w:lineRule="auto"/>
      <w:ind w:firstLine="0" w:left="1200"/>
    </w:pPr>
    <w:rPr>
      <w:rFonts w:ascii="XO Thames" w:hAnsi="XO Thames"/>
      <w:sz w:val="28"/>
    </w:rPr>
  </w:style>
  <w:style w:styleId="Style_21_ch" w:type="character">
    <w:name w:val="toc 7"/>
    <w:link w:val="Style_21"/>
    <w:rPr>
      <w:rFonts w:ascii="XO Thames" w:hAnsi="XO Thames"/>
      <w:sz w:val="28"/>
    </w:rPr>
  </w:style>
  <w:style w:styleId="Style_22" w:type="paragraph">
    <w:name w:val="Основной шрифт абзаца1"/>
    <w:link w:val="Style_22_ch"/>
  </w:style>
  <w:style w:styleId="Style_22_ch" w:type="character">
    <w:name w:val="Основной шрифт абзаца1"/>
    <w:link w:val="Style_22"/>
  </w:style>
  <w:style w:styleId="Style_23" w:type="paragraph">
    <w:name w:val="Обычный1"/>
    <w:link w:val="Style_23_ch"/>
    <w:rPr>
      <w:sz w:val="28"/>
    </w:rPr>
  </w:style>
  <w:style w:styleId="Style_23_ch" w:type="character">
    <w:name w:val="Обычный1"/>
    <w:link w:val="Style_23"/>
    <w:rPr>
      <w:sz w:val="28"/>
    </w:rPr>
  </w:style>
  <w:style w:styleId="Style_24" w:type="paragraph">
    <w:name w:val="Endnote"/>
    <w:link w:val="Style_24_ch"/>
    <w:pPr>
      <w:ind w:firstLine="851" w:left="0"/>
      <w:jc w:val="both"/>
    </w:pPr>
    <w:rPr>
      <w:rFonts w:ascii="XO Thames" w:hAnsi="XO Thames"/>
      <w:sz w:val="22"/>
    </w:rPr>
  </w:style>
  <w:style w:styleId="Style_24_ch" w:type="character">
    <w:name w:val="Endnote"/>
    <w:link w:val="Style_24"/>
    <w:rPr>
      <w:rFonts w:ascii="XO Thames" w:hAnsi="XO Thames"/>
      <w:sz w:val="22"/>
    </w:rPr>
  </w:style>
  <w:style w:styleId="Style_10" w:type="paragraph">
    <w:name w:val="heading 3"/>
    <w:basedOn w:val="Style_16"/>
    <w:next w:val="Style_16"/>
    <w:link w:val="Style_10_ch"/>
    <w:uiPriority w:val="9"/>
    <w:qFormat/>
    <w:pPr>
      <w:keepNext w:val="1"/>
      <w:ind w:firstLine="0" w:left="0"/>
      <w:jc w:val="center"/>
      <w:outlineLvl w:val="2"/>
    </w:pPr>
    <w:rPr>
      <w:b w:val="1"/>
    </w:rPr>
  </w:style>
  <w:style w:styleId="Style_10_ch" w:type="character">
    <w:name w:val="heading 3"/>
    <w:basedOn w:val="Style_16_ch"/>
    <w:link w:val="Style_10"/>
    <w:rPr>
      <w:b w:val="1"/>
    </w:rPr>
  </w:style>
  <w:style w:styleId="Style_25" w:type="paragraph">
    <w:name w:val="Default Paragraph Font"/>
    <w:link w:val="Style_25_ch"/>
  </w:style>
  <w:style w:styleId="Style_25_ch" w:type="character">
    <w:name w:val="Default Paragraph Font"/>
    <w:link w:val="Style_25"/>
  </w:style>
  <w:style w:styleId="Style_1" w:type="paragraph">
    <w:name w:val="Номер страницы1"/>
    <w:basedOn w:val="Style_26"/>
    <w:link w:val="Style_1_ch"/>
    <w:rPr>
      <w:sz w:val="20"/>
    </w:rPr>
  </w:style>
  <w:style w:styleId="Style_1_ch" w:type="character">
    <w:name w:val="Номер страницы1"/>
    <w:basedOn w:val="Style_26_ch"/>
    <w:link w:val="Style_1"/>
    <w:rPr>
      <w:sz w:val="20"/>
    </w:rPr>
  </w:style>
  <w:style w:styleId="Style_4" w:type="paragraph">
    <w:name w:val="ConsNormal"/>
    <w:link w:val="Style_4_ch"/>
    <w:pPr>
      <w:widowControl w:val="0"/>
      <w:ind w:firstLine="720" w:left="0"/>
    </w:pPr>
    <w:rPr>
      <w:rFonts w:ascii="Arial" w:hAnsi="Arial"/>
      <w:sz w:val="24"/>
    </w:rPr>
  </w:style>
  <w:style w:styleId="Style_4_ch" w:type="character">
    <w:name w:val="ConsNormal"/>
    <w:link w:val="Style_4"/>
    <w:rPr>
      <w:rFonts w:ascii="Arial" w:hAnsi="Arial"/>
      <w:sz w:val="24"/>
    </w:rPr>
  </w:style>
  <w:style w:styleId="Style_14" w:type="paragraph">
    <w:name w:val="ConsPlusTitle"/>
    <w:link w:val="Style_14_ch"/>
    <w:pPr>
      <w:widowControl w:val="0"/>
      <w:ind/>
    </w:pPr>
    <w:rPr>
      <w:rFonts w:ascii="Calibri" w:hAnsi="Calibri"/>
      <w:b w:val="1"/>
      <w:sz w:val="22"/>
    </w:rPr>
  </w:style>
  <w:style w:styleId="Style_14_ch" w:type="character">
    <w:name w:val="ConsPlusTitle"/>
    <w:link w:val="Style_14"/>
    <w:rPr>
      <w:rFonts w:ascii="Calibri" w:hAnsi="Calibri"/>
      <w:b w:val="1"/>
      <w:sz w:val="22"/>
    </w:rPr>
  </w:style>
  <w:style w:styleId="Style_27" w:type="paragraph">
    <w:name w:val="toc 3"/>
    <w:next w:val="Style_16"/>
    <w:link w:val="Style_27_ch"/>
    <w:uiPriority w:val="39"/>
    <w:pPr>
      <w:spacing w:line="360" w:lineRule="auto"/>
      <w:ind w:firstLine="0" w:left="400"/>
    </w:pPr>
    <w:rPr>
      <w:rFonts w:ascii="XO Thames" w:hAnsi="XO Thames"/>
      <w:sz w:val="28"/>
    </w:rPr>
  </w:style>
  <w:style w:styleId="Style_27_ch" w:type="character">
    <w:name w:val="toc 3"/>
    <w:link w:val="Style_27"/>
    <w:rPr>
      <w:rFonts w:ascii="XO Thames" w:hAnsi="XO Thames"/>
      <w:sz w:val="28"/>
    </w:rPr>
  </w:style>
  <w:style w:styleId="Style_28" w:type="paragraph">
    <w:name w:val="Гиперссылка1"/>
    <w:link w:val="Style_28_ch"/>
    <w:pPr>
      <w:spacing w:line="360" w:lineRule="auto"/>
      <w:ind w:firstLine="709" w:left="0"/>
      <w:jc w:val="both"/>
    </w:pPr>
    <w:rPr>
      <w:color w:val="0000FF"/>
      <w:sz w:val="24"/>
      <w:u w:val="single"/>
    </w:rPr>
  </w:style>
  <w:style w:styleId="Style_28_ch" w:type="character">
    <w:name w:val="Гиперссылка1"/>
    <w:link w:val="Style_28"/>
    <w:rPr>
      <w:color w:val="0000FF"/>
      <w:sz w:val="24"/>
      <w:u w:val="single"/>
    </w:rPr>
  </w:style>
  <w:style w:styleId="Style_11" w:type="paragraph">
    <w:name w:val="heading 5"/>
    <w:basedOn w:val="Style_16"/>
    <w:next w:val="Style_16"/>
    <w:link w:val="Style_11_ch"/>
    <w:uiPriority w:val="9"/>
    <w:qFormat/>
    <w:pPr>
      <w:keepNext w:val="1"/>
      <w:spacing w:line="360" w:lineRule="auto"/>
      <w:ind/>
      <w:outlineLvl w:val="4"/>
    </w:pPr>
    <w:rPr>
      <w:b w:val="1"/>
    </w:rPr>
  </w:style>
  <w:style w:styleId="Style_11_ch" w:type="character">
    <w:name w:val="heading 5"/>
    <w:basedOn w:val="Style_16_ch"/>
    <w:link w:val="Style_11"/>
    <w:rPr>
      <w:b w:val="1"/>
    </w:rPr>
  </w:style>
  <w:style w:styleId="Style_5" w:type="paragraph">
    <w:name w:val="heading 1"/>
    <w:basedOn w:val="Style_16"/>
    <w:next w:val="Style_16"/>
    <w:link w:val="Style_5_ch"/>
    <w:uiPriority w:val="9"/>
    <w:qFormat/>
    <w:pPr>
      <w:keepNext w:val="1"/>
      <w:ind/>
      <w:jc w:val="right"/>
      <w:outlineLvl w:val="0"/>
    </w:pPr>
    <w:rPr>
      <w:i w:val="1"/>
      <w:u w:val="single"/>
    </w:rPr>
  </w:style>
  <w:style w:styleId="Style_5_ch" w:type="character">
    <w:name w:val="heading 1"/>
    <w:basedOn w:val="Style_16_ch"/>
    <w:link w:val="Style_5"/>
    <w:rPr>
      <w:i w:val="1"/>
      <w:u w:val="single"/>
    </w:rPr>
  </w:style>
  <w:style w:styleId="Style_29" w:type="paragraph">
    <w:name w:val="Hyperlink"/>
    <w:link w:val="Style_29_ch"/>
    <w:rPr>
      <w:color w:val="0000FF"/>
      <w:u w:val="single"/>
    </w:rPr>
  </w:style>
  <w:style w:styleId="Style_29_ch" w:type="character">
    <w:name w:val="Hyperlink"/>
    <w:link w:val="Style_29"/>
    <w:rPr>
      <w:color w:val="0000FF"/>
      <w:u w:val="single"/>
    </w:rPr>
  </w:style>
  <w:style w:styleId="Style_30" w:type="paragraph">
    <w:name w:val="Footnote"/>
    <w:link w:val="Style_30_ch"/>
    <w:pPr>
      <w:spacing w:line="360" w:lineRule="auto"/>
      <w:ind w:firstLine="851" w:left="0"/>
      <w:jc w:val="both"/>
    </w:pPr>
    <w:rPr>
      <w:rFonts w:ascii="XO Thames" w:hAnsi="XO Thames"/>
      <w:sz w:val="22"/>
    </w:rPr>
  </w:style>
  <w:style w:styleId="Style_30_ch" w:type="character">
    <w:name w:val="Footnote"/>
    <w:link w:val="Style_30"/>
    <w:rPr>
      <w:rFonts w:ascii="XO Thames" w:hAnsi="XO Thames"/>
      <w:sz w:val="22"/>
    </w:rPr>
  </w:style>
  <w:style w:styleId="Style_31" w:type="paragraph">
    <w:name w:val="toc 1"/>
    <w:next w:val="Style_16"/>
    <w:link w:val="Style_31_ch"/>
    <w:uiPriority w:val="39"/>
    <w:pPr>
      <w:spacing w:line="360" w:lineRule="auto"/>
      <w:ind/>
    </w:pPr>
    <w:rPr>
      <w:rFonts w:ascii="XO Thames" w:hAnsi="XO Thames"/>
      <w:b w:val="1"/>
      <w:sz w:val="28"/>
    </w:rPr>
  </w:style>
  <w:style w:styleId="Style_31_ch" w:type="character">
    <w:name w:val="toc 1"/>
    <w:link w:val="Style_31"/>
    <w:rPr>
      <w:rFonts w:ascii="XO Thames" w:hAnsi="XO Thames"/>
      <w:b w:val="1"/>
      <w:sz w:val="28"/>
    </w:rPr>
  </w:style>
  <w:style w:styleId="Style_32" w:type="paragraph">
    <w:name w:val="Header and Footer"/>
    <w:link w:val="Style_32_ch"/>
    <w:pPr>
      <w:ind w:firstLine="709" w:left="0"/>
      <w:jc w:val="both"/>
    </w:pPr>
    <w:rPr>
      <w:rFonts w:ascii="XO Thames" w:hAnsi="XO Thames"/>
      <w:sz w:val="24"/>
    </w:rPr>
  </w:style>
  <w:style w:styleId="Style_32_ch" w:type="character">
    <w:name w:val="Header and Footer"/>
    <w:link w:val="Style_32"/>
    <w:rPr>
      <w:rFonts w:ascii="XO Thames" w:hAnsi="XO Thames"/>
      <w:sz w:val="24"/>
    </w:rPr>
  </w:style>
  <w:style w:styleId="Style_33" w:type="paragraph">
    <w:name w:val="toc 9"/>
    <w:next w:val="Style_16"/>
    <w:link w:val="Style_33_ch"/>
    <w:uiPriority w:val="39"/>
    <w:pPr>
      <w:spacing w:line="360" w:lineRule="auto"/>
      <w:ind w:firstLine="0" w:left="1600"/>
    </w:pPr>
    <w:rPr>
      <w:rFonts w:ascii="XO Thames" w:hAnsi="XO Thames"/>
      <w:sz w:val="28"/>
    </w:rPr>
  </w:style>
  <w:style w:styleId="Style_33_ch" w:type="character">
    <w:name w:val="toc 9"/>
    <w:link w:val="Style_33"/>
    <w:rPr>
      <w:rFonts w:ascii="XO Thames" w:hAnsi="XO Thames"/>
      <w:sz w:val="28"/>
    </w:rPr>
  </w:style>
  <w:style w:styleId="Style_7" w:type="paragraph">
    <w:name w:val="Body Text"/>
    <w:basedOn w:val="Style_16"/>
    <w:link w:val="Style_7_ch"/>
    <w:pPr>
      <w:spacing w:after="120"/>
      <w:ind/>
    </w:pPr>
  </w:style>
  <w:style w:styleId="Style_7_ch" w:type="character">
    <w:name w:val="Body Text"/>
    <w:basedOn w:val="Style_16_ch"/>
    <w:link w:val="Style_7"/>
  </w:style>
  <w:style w:styleId="Style_34" w:type="paragraph">
    <w:name w:val="toc 8"/>
    <w:next w:val="Style_16"/>
    <w:link w:val="Style_34_ch"/>
    <w:uiPriority w:val="39"/>
    <w:pPr>
      <w:spacing w:line="360" w:lineRule="auto"/>
      <w:ind w:firstLine="0" w:left="1400"/>
    </w:pPr>
    <w:rPr>
      <w:rFonts w:ascii="XO Thames" w:hAnsi="XO Thames"/>
      <w:sz w:val="28"/>
    </w:rPr>
  </w:style>
  <w:style w:styleId="Style_34_ch" w:type="character">
    <w:name w:val="toc 8"/>
    <w:link w:val="Style_34"/>
    <w:rPr>
      <w:rFonts w:ascii="XO Thames" w:hAnsi="XO Thames"/>
      <w:sz w:val="28"/>
    </w:rPr>
  </w:style>
  <w:style w:styleId="Style_15" w:type="paragraph">
    <w:name w:val="ConsPlusNormal"/>
    <w:link w:val="Style_15_ch"/>
    <w:pPr>
      <w:widowControl w:val="0"/>
      <w:ind w:firstLine="720" w:left="0"/>
    </w:pPr>
    <w:rPr>
      <w:rFonts w:ascii="Arial" w:hAnsi="Arial"/>
      <w:sz w:val="24"/>
    </w:rPr>
  </w:style>
  <w:style w:styleId="Style_15_ch" w:type="character">
    <w:name w:val="ConsPlusNormal"/>
    <w:link w:val="Style_15"/>
    <w:rPr>
      <w:rFonts w:ascii="Arial" w:hAnsi="Arial"/>
      <w:sz w:val="24"/>
    </w:rPr>
  </w:style>
  <w:style w:styleId="Style_35" w:type="paragraph">
    <w:name w:val="toc 5"/>
    <w:next w:val="Style_16"/>
    <w:link w:val="Style_35_ch"/>
    <w:uiPriority w:val="39"/>
    <w:pPr>
      <w:spacing w:line="360" w:lineRule="auto"/>
      <w:ind w:firstLine="0" w:left="800"/>
    </w:pPr>
    <w:rPr>
      <w:rFonts w:ascii="XO Thames" w:hAnsi="XO Thames"/>
      <w:sz w:val="28"/>
    </w:rPr>
  </w:style>
  <w:style w:styleId="Style_35_ch" w:type="character">
    <w:name w:val="toc 5"/>
    <w:link w:val="Style_35"/>
    <w:rPr>
      <w:rFonts w:ascii="XO Thames" w:hAnsi="XO Thames"/>
      <w:sz w:val="28"/>
    </w:rPr>
  </w:style>
  <w:style w:styleId="Style_12" w:type="paragraph">
    <w:name w:val="Normal (Web)"/>
    <w:basedOn w:val="Style_16"/>
    <w:link w:val="Style_12_ch"/>
    <w:pPr>
      <w:spacing w:afterAutospacing="on" w:beforeAutospacing="on"/>
      <w:ind w:firstLine="0" w:left="0"/>
      <w:jc w:val="left"/>
    </w:pPr>
    <w:rPr>
      <w:sz w:val="24"/>
    </w:rPr>
  </w:style>
  <w:style w:styleId="Style_12_ch" w:type="character">
    <w:name w:val="Normal (Web)"/>
    <w:basedOn w:val="Style_16_ch"/>
    <w:link w:val="Style_12"/>
    <w:rPr>
      <w:sz w:val="24"/>
    </w:rPr>
  </w:style>
  <w:style w:styleId="Style_36" w:type="paragraph">
    <w:name w:val="toc 10"/>
    <w:next w:val="Style_16"/>
    <w:link w:val="Style_36_ch"/>
    <w:pPr>
      <w:ind w:firstLine="0" w:left="1800"/>
    </w:pPr>
    <w:rPr>
      <w:rFonts w:ascii="XO Thames" w:hAnsi="XO Thames"/>
      <w:sz w:val="28"/>
    </w:rPr>
  </w:style>
  <w:style w:styleId="Style_36_ch" w:type="character">
    <w:name w:val="toc 10"/>
    <w:link w:val="Style_36"/>
    <w:rPr>
      <w:rFonts w:ascii="XO Thames" w:hAnsi="XO Thames"/>
      <w:sz w:val="28"/>
    </w:rPr>
  </w:style>
  <w:style w:styleId="Style_37" w:type="paragraph">
    <w:name w:val="Subtitle"/>
    <w:next w:val="Style_16"/>
    <w:link w:val="Style_37_ch"/>
    <w:uiPriority w:val="11"/>
    <w:qFormat/>
    <w:pPr>
      <w:spacing w:line="360" w:lineRule="auto"/>
      <w:ind w:firstLine="709" w:left="0"/>
      <w:jc w:val="both"/>
    </w:pPr>
    <w:rPr>
      <w:rFonts w:ascii="XO Thames" w:hAnsi="XO Thames"/>
      <w:i w:val="1"/>
      <w:sz w:val="24"/>
    </w:rPr>
  </w:style>
  <w:style w:styleId="Style_37_ch" w:type="character">
    <w:name w:val="Subtitle"/>
    <w:link w:val="Style_37"/>
    <w:rPr>
      <w:rFonts w:ascii="XO Thames" w:hAnsi="XO Thames"/>
      <w:i w:val="1"/>
      <w:sz w:val="24"/>
    </w:rPr>
  </w:style>
  <w:style w:styleId="Style_26" w:type="paragraph">
    <w:name w:val="Основной шрифт абзаца1"/>
    <w:link w:val="Style_26_ch"/>
    <w:pPr>
      <w:spacing w:line="360" w:lineRule="auto"/>
      <w:ind w:firstLine="709" w:left="0"/>
      <w:jc w:val="both"/>
    </w:pPr>
    <w:rPr>
      <w:sz w:val="24"/>
    </w:rPr>
  </w:style>
  <w:style w:styleId="Style_26_ch" w:type="character">
    <w:name w:val="Основной шрифт абзаца1"/>
    <w:link w:val="Style_26"/>
    <w:rPr>
      <w:sz w:val="24"/>
    </w:rPr>
  </w:style>
  <w:style w:styleId="Style_38" w:type="paragraph">
    <w:name w:val="Title"/>
    <w:next w:val="Style_16"/>
    <w:link w:val="Style_38_ch"/>
    <w:uiPriority w:val="10"/>
    <w:qFormat/>
    <w:pPr>
      <w:spacing w:after="567" w:before="567" w:line="360" w:lineRule="auto"/>
      <w:ind w:firstLine="709" w:left="0"/>
      <w:jc w:val="center"/>
    </w:pPr>
    <w:rPr>
      <w:rFonts w:ascii="XO Thames" w:hAnsi="XO Thames"/>
      <w:b w:val="1"/>
      <w:caps w:val="1"/>
      <w:sz w:val="40"/>
    </w:rPr>
  </w:style>
  <w:style w:styleId="Style_38_ch" w:type="character">
    <w:name w:val="Title"/>
    <w:link w:val="Style_38"/>
    <w:rPr>
      <w:rFonts w:ascii="XO Thames" w:hAnsi="XO Thames"/>
      <w:b w:val="1"/>
      <w:caps w:val="1"/>
      <w:sz w:val="40"/>
    </w:rPr>
  </w:style>
  <w:style w:styleId="Style_9" w:type="paragraph">
    <w:name w:val="heading 4"/>
    <w:basedOn w:val="Style_16"/>
    <w:next w:val="Style_16"/>
    <w:link w:val="Style_9_ch"/>
    <w:uiPriority w:val="9"/>
    <w:qFormat/>
    <w:pPr>
      <w:keepNext w:val="1"/>
      <w:ind w:firstLine="1418" w:left="0"/>
      <w:outlineLvl w:val="3"/>
    </w:pPr>
    <w:rPr>
      <w:b w:val="1"/>
    </w:rPr>
  </w:style>
  <w:style w:styleId="Style_9_ch" w:type="character">
    <w:name w:val="heading 4"/>
    <w:basedOn w:val="Style_16_ch"/>
    <w:link w:val="Style_9"/>
    <w:rPr>
      <w:b w:val="1"/>
    </w:rPr>
  </w:style>
  <w:style w:styleId="Style_6" w:type="paragraph">
    <w:name w:val="heading 2"/>
    <w:basedOn w:val="Style_16"/>
    <w:next w:val="Style_16"/>
    <w:link w:val="Style_6_ch"/>
    <w:uiPriority w:val="9"/>
    <w:qFormat/>
    <w:pPr>
      <w:keepNext w:val="1"/>
      <w:spacing w:line="168" w:lineRule="auto"/>
      <w:ind w:firstLine="0" w:left="0"/>
      <w:outlineLvl w:val="1"/>
    </w:pPr>
  </w:style>
  <w:style w:styleId="Style_6_ch" w:type="character">
    <w:name w:val="heading 2"/>
    <w:basedOn w:val="Style_16_ch"/>
    <w:link w:val="Style_6"/>
  </w:style>
  <w:style w:styleId="Style_13" w:type="paragraph">
    <w:name w:val="Гиперссылка2"/>
    <w:link w:val="Style_13_ch"/>
    <w:rPr>
      <w:color w:val="0000FF"/>
      <w:u w:val="single"/>
    </w:rPr>
  </w:style>
  <w:style w:styleId="Style_13_ch" w:type="character">
    <w:name w:val="Гиперссылка2"/>
    <w:link w:val="Style_13"/>
    <w:rPr>
      <w:color w:val="0000FF"/>
      <w:u w:val="single"/>
    </w:rPr>
  </w:style>
  <w:style w:styleId="Style_3" w:type="paragraph">
    <w:name w:val="heading 6"/>
    <w:basedOn w:val="Style_16"/>
    <w:next w:val="Style_16"/>
    <w:link w:val="Style_3_ch"/>
    <w:uiPriority w:val="9"/>
    <w:qFormat/>
    <w:pPr>
      <w:keepNext w:val="1"/>
      <w:ind/>
      <w:jc w:val="right"/>
      <w:outlineLvl w:val="5"/>
    </w:pPr>
    <w:rPr>
      <w:b w:val="1"/>
      <w:u w:val="single"/>
    </w:rPr>
  </w:style>
  <w:style w:styleId="Style_3_ch" w:type="character">
    <w:name w:val="heading 6"/>
    <w:basedOn w:val="Style_16_ch"/>
    <w:link w:val="Style_3"/>
    <w:rPr>
      <w:b w:val="1"/>
      <w:u w:val="single"/>
    </w:rPr>
  </w:style>
  <w:style w:default="1" w:styleId="Style_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header1.xml" Type="http://schemas.openxmlformats.org/officeDocument/2006/relationships/header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8" Target="numbering.xml" Type="http://schemas.openxmlformats.org/officeDocument/2006/relationships/numbering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2024-09-12T12:22:49Z</dcterms:modified>
</cp:coreProperties>
</file>