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color w:val="000000"/>
        </w:rPr>
      </w:pPr>
      <w:r>
        <w:rPr>
          <w:b w:val="1"/>
          <w:color w:val="000000"/>
          <w:sz w:val="28"/>
        </w:rPr>
        <w:t xml:space="preserve">Финансово-экономическое обоснование </w:t>
      </w:r>
    </w:p>
    <w:p w14:paraId="02000000">
      <w:pPr>
        <w:ind/>
        <w:jc w:val="center"/>
        <w:rPr>
          <w:color w:val="000000"/>
        </w:rPr>
      </w:pPr>
      <w:r>
        <w:rPr>
          <w:b w:val="1"/>
          <w:color w:val="000000"/>
          <w:sz w:val="28"/>
        </w:rPr>
        <w:t>к проекту областного закона «О внесении изменений в Областной закон «О предоставлении материальной и иной помощи для погребения умерших</w:t>
      </w:r>
    </w:p>
    <w:p w14:paraId="03000000">
      <w:pPr>
        <w:ind/>
        <w:jc w:val="center"/>
        <w:rPr>
          <w:color w:val="000000"/>
        </w:rPr>
      </w:pPr>
      <w:r>
        <w:rPr>
          <w:b w:val="1"/>
          <w:color w:val="000000"/>
          <w:sz w:val="28"/>
        </w:rPr>
        <w:t xml:space="preserve"> за счет средств областного бюджета» </w:t>
      </w:r>
    </w:p>
    <w:p w14:paraId="04000000">
      <w:pPr>
        <w:ind/>
        <w:jc w:val="center"/>
        <w:rPr>
          <w:b w:val="1"/>
          <w:color w:val="000000"/>
          <w:sz w:val="28"/>
        </w:rPr>
      </w:pPr>
    </w:p>
    <w:p w14:paraId="05000000">
      <w:pPr>
        <w:spacing w:line="240" w:lineRule="auto"/>
        <w:ind w:firstLine="709" w:left="0"/>
        <w:jc w:val="both"/>
        <w:rPr>
          <w:color w:val="000000"/>
        </w:rPr>
      </w:pPr>
      <w:r>
        <w:rPr>
          <w:color w:val="000000"/>
          <w:sz w:val="28"/>
        </w:rPr>
        <w:t>На реализацию Областного закона от 03.05.2005 № 303-ЗС «О предоставлении материальной и иной помощи для погребения умерших за счет средств областного бюджета» на 2024 год в</w:t>
      </w:r>
      <w:r>
        <w:rPr>
          <w:sz w:val="28"/>
        </w:rPr>
        <w:t xml:space="preserve"> областном бюджете предусмотрены средства</w:t>
      </w:r>
      <w:r>
        <w:rPr>
          <w:sz w:val="28"/>
        </w:rPr>
        <w:t xml:space="preserve"> в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sz w:val="28"/>
        </w:rPr>
        <w:t>объёме</w:t>
      </w:r>
      <w:r>
        <w:rPr>
          <w:color w:val="000000"/>
          <w:sz w:val="28"/>
        </w:rPr>
        <w:t xml:space="preserve"> 51 297,0 тыс. рублей.</w:t>
      </w:r>
    </w:p>
    <w:p w14:paraId="06000000">
      <w:pPr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>Расчет объема субвенци</w:t>
      </w:r>
      <w:r>
        <w:rPr>
          <w:sz w:val="28"/>
        </w:rPr>
        <w:t>й</w:t>
      </w:r>
      <w:r>
        <w:rPr>
          <w:sz w:val="28"/>
        </w:rPr>
        <w:t xml:space="preserve"> на осуществление полномочий по предоставлению </w:t>
      </w:r>
      <w:r>
        <w:rPr>
          <w:color w:val="000000"/>
          <w:sz w:val="28"/>
        </w:rPr>
        <w:t>материальной и иной помощи для погребения умерших</w:t>
      </w:r>
      <w:r>
        <w:rPr>
          <w:sz w:val="28"/>
        </w:rPr>
        <w:t xml:space="preserve">, </w:t>
      </w:r>
      <w:r>
        <w:rPr>
          <w:sz w:val="28"/>
        </w:rPr>
        <w:t>предусмотренн</w:t>
      </w:r>
      <w:r>
        <w:rPr>
          <w:sz w:val="28"/>
        </w:rPr>
        <w:t>ой</w:t>
      </w:r>
      <w:r>
        <w:rPr>
          <w:sz w:val="28"/>
        </w:rPr>
        <w:t xml:space="preserve"> вышеуказанным областным законом</w:t>
      </w:r>
      <w:r>
        <w:rPr>
          <w:sz w:val="28"/>
        </w:rPr>
        <w:t xml:space="preserve">, </w:t>
      </w:r>
      <w:r>
        <w:rPr>
          <w:sz w:val="28"/>
        </w:rPr>
        <w:t>осуществлен по Методике регулир</w:t>
      </w:r>
      <w:r>
        <w:rPr>
          <w:sz w:val="28"/>
        </w:rPr>
        <w:t>ования межбюджетных отношений в </w:t>
      </w:r>
      <w:r>
        <w:rPr>
          <w:sz w:val="28"/>
        </w:rPr>
        <w:t>Ростовской области, утвержденной Областным за</w:t>
      </w:r>
      <w:r>
        <w:rPr>
          <w:sz w:val="28"/>
        </w:rPr>
        <w:t>коном от 26.12.2016 № 834-ЗС «О </w:t>
      </w:r>
      <w:r>
        <w:rPr>
          <w:sz w:val="28"/>
        </w:rPr>
        <w:t xml:space="preserve">межбюджетных отношениях органов государственной власти и органов местного самоуправления в Ростовской области». </w:t>
      </w:r>
    </w:p>
    <w:p w14:paraId="07000000">
      <w:pPr>
        <w:spacing w:line="240" w:lineRule="auto"/>
        <w:ind w:firstLine="709" w:left="0"/>
        <w:jc w:val="both"/>
        <w:rPr>
          <w:color w:val="000000"/>
        </w:rPr>
      </w:pPr>
      <w:r>
        <w:rPr>
          <w:color w:val="000000"/>
          <w:sz w:val="28"/>
        </w:rPr>
        <w:t xml:space="preserve">Министерством труда и социального развития Ростовской области уточнены расчеты потребности в средствах областного бюджета на осуществление полномочий по предоставлению материальной и иной помощи для погребения на 2024 год. </w:t>
      </w:r>
    </w:p>
    <w:p w14:paraId="08000000">
      <w:pPr>
        <w:spacing w:line="240" w:lineRule="auto"/>
        <w:ind w:firstLine="709" w:left="0"/>
        <w:jc w:val="both"/>
        <w:rPr>
          <w:color w:val="000000"/>
        </w:rPr>
      </w:pPr>
      <w:r>
        <w:rPr>
          <w:color w:val="000000"/>
          <w:sz w:val="28"/>
        </w:rPr>
        <w:t xml:space="preserve">В расчете </w:t>
      </w:r>
      <w:r>
        <w:rPr>
          <w:color w:val="000000"/>
          <w:sz w:val="28"/>
        </w:rPr>
        <w:t>использованы</w:t>
      </w:r>
      <w:r>
        <w:rPr>
          <w:color w:val="000000"/>
          <w:sz w:val="28"/>
        </w:rPr>
        <w:t>:</w:t>
      </w:r>
    </w:p>
    <w:p w14:paraId="09000000">
      <w:pPr>
        <w:spacing w:line="240" w:lineRule="auto"/>
        <w:ind w:firstLine="709" w:left="0"/>
        <w:jc w:val="both"/>
        <w:rPr>
          <w:color w:val="000000"/>
        </w:rPr>
      </w:pPr>
      <w:r>
        <w:rPr>
          <w:color w:val="000000"/>
          <w:sz w:val="28"/>
        </w:rPr>
        <w:t>проиндексированные на 5,1 % размеры стоимости услуг по погребению, возмещаемых специализированным службам по вопросам похоронного дела, и социального пособия на погребение на 2024 год в сумме по 8 990,0 рублей каждый;</w:t>
      </w:r>
    </w:p>
    <w:p w14:paraId="0A000000">
      <w:pPr>
        <w:spacing w:line="240" w:lineRule="auto"/>
        <w:ind w:firstLine="709" w:left="0"/>
        <w:jc w:val="both"/>
        <w:rPr>
          <w:color w:val="000000"/>
        </w:rPr>
      </w:pPr>
      <w:r>
        <w:rPr>
          <w:color w:val="000000"/>
          <w:sz w:val="28"/>
        </w:rPr>
        <w:t>средние данные за последние три года о выплаченных социальных пособиях на погребение и возмещениях специализированным службам по вопросам похоронного дела в количестве 4 866 выплат;</w:t>
      </w:r>
    </w:p>
    <w:p w14:paraId="0B000000">
      <w:pPr>
        <w:spacing w:line="240" w:lineRule="auto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расходы на оплату услуг по доставке и пересылке социального пособия на погребение в размере до 1,5 % от средств субвенции, рассчитанных на выплату социального пособия на погребение.</w:t>
      </w:r>
    </w:p>
    <w:p w14:paraId="0C000000">
      <w:pPr>
        <w:spacing w:line="240" w:lineRule="auto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Дополнительных средств областного бюджета на </w:t>
      </w:r>
      <w:r>
        <w:rPr>
          <w:color w:val="000000"/>
          <w:sz w:val="28"/>
        </w:rPr>
        <w:t xml:space="preserve">предоставление материальной и иной помощи для погребения </w:t>
      </w:r>
      <w:r>
        <w:rPr>
          <w:color w:val="000000"/>
          <w:sz w:val="28"/>
        </w:rPr>
        <w:t>в связи с принятием законопроекта</w:t>
      </w:r>
      <w:r>
        <w:rPr>
          <w:color w:val="000000"/>
          <w:sz w:val="28"/>
        </w:rPr>
        <w:t xml:space="preserve"> не потребуется</w:t>
      </w:r>
      <w:r>
        <w:rPr>
          <w:color w:val="000000"/>
          <w:sz w:val="28"/>
        </w:rPr>
        <w:t>, так как</w:t>
      </w:r>
      <w:r>
        <w:rPr>
          <w:color w:val="000000"/>
          <w:sz w:val="28"/>
        </w:rPr>
        <w:t xml:space="preserve"> стоимость гарантированного перечня услуг по погребению устанавливается органами местного самоуправления не выше размеров стоимости услуг по погребению, возмещаемых специализированным службам по вопросам похоронного дела, и социального пособия на погребение, установленных Областным законом от 03.05.2005 № 303-ЗС. </w:t>
      </w:r>
    </w:p>
    <w:p w14:paraId="0D000000">
      <w:pPr>
        <w:spacing w:line="240" w:lineRule="auto"/>
        <w:ind w:firstLine="709" w:left="0"/>
        <w:jc w:val="both"/>
        <w:rPr>
          <w:color w:val="000000"/>
        </w:rPr>
      </w:pPr>
    </w:p>
    <w:p w14:paraId="0E000000">
      <w:pPr>
        <w:spacing w:line="240" w:lineRule="auto"/>
        <w:ind/>
        <w:jc w:val="both"/>
        <w:rPr>
          <w:color w:val="000000"/>
          <w:sz w:val="28"/>
        </w:rPr>
      </w:pPr>
    </w:p>
    <w:p w14:paraId="0F000000">
      <w:pPr>
        <w:spacing w:line="240" w:lineRule="auto"/>
        <w:ind/>
        <w:rPr>
          <w:color w:val="000000"/>
        </w:rPr>
      </w:pPr>
      <w:r>
        <w:rPr>
          <w:color w:val="000000"/>
          <w:sz w:val="28"/>
        </w:rPr>
        <w:t xml:space="preserve">         </w:t>
      </w:r>
    </w:p>
    <w:p w14:paraId="10000000">
      <w:pPr>
        <w:spacing w:line="240" w:lineRule="auto"/>
        <w:ind/>
        <w:rPr>
          <w:color w:val="000000"/>
          <w:sz w:val="28"/>
        </w:rPr>
      </w:pPr>
      <w:r>
        <w:rPr>
          <w:color w:val="000000"/>
          <w:sz w:val="28"/>
        </w:rPr>
        <w:t>Министр труда и социального</w:t>
      </w:r>
    </w:p>
    <w:p w14:paraId="11000000">
      <w:pPr>
        <w:spacing w:line="240" w:lineRule="auto"/>
        <w:ind/>
        <w:rPr>
          <w:color w:val="000000"/>
        </w:rPr>
      </w:pPr>
      <w:r>
        <w:rPr>
          <w:color w:val="000000"/>
          <w:sz w:val="28"/>
        </w:rPr>
        <w:t>развития Ростовской области</w:t>
      </w:r>
      <w:r>
        <w:rPr>
          <w:color w:val="000000"/>
          <w:sz w:val="28"/>
        </w:rPr>
        <w:tab/>
      </w:r>
      <w:r>
        <w:rPr>
          <w:color w:val="000000"/>
          <w:sz w:val="28"/>
        </w:rPr>
        <w:tab/>
      </w:r>
      <w:r>
        <w:rPr>
          <w:color w:val="000000"/>
          <w:sz w:val="28"/>
        </w:rPr>
        <w:tab/>
      </w:r>
      <w:r>
        <w:rPr>
          <w:color w:val="000000"/>
          <w:sz w:val="28"/>
        </w:rPr>
        <w:tab/>
      </w:r>
      <w:r>
        <w:rPr>
          <w:color w:val="000000"/>
          <w:sz w:val="28"/>
        </w:rPr>
        <w:tab/>
      </w:r>
      <w:r>
        <w:rPr>
          <w:color w:val="000000"/>
          <w:sz w:val="28"/>
        </w:rPr>
        <w:tab/>
      </w:r>
      <w:r>
        <w:rPr>
          <w:color w:val="000000"/>
          <w:sz w:val="28"/>
        </w:rPr>
        <w:tab/>
      </w:r>
      <w:r>
        <w:rPr>
          <w:color w:val="000000"/>
          <w:sz w:val="28"/>
        </w:rPr>
        <w:t xml:space="preserve">        И.Н. Шувалова </w:t>
      </w:r>
      <w:bookmarkStart w:id="1" w:name="_GoBack"/>
      <w:bookmarkEnd w:id="1"/>
    </w:p>
    <w:sectPr>
      <w:pgSz w:h="16838" w:orient="portrait" w:w="11906"/>
      <w:pgMar w:bottom="1134" w:footer="720" w:gutter="0" w:header="720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rPr>
      <w:sz w:val="24"/>
    </w:rPr>
  </w:style>
  <w:style w:default="1" w:styleId="Style_1_ch" w:type="character">
    <w:name w:val="Normal"/>
    <w:link w:val="Style_1"/>
    <w:rPr>
      <w:sz w:val="24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caption"/>
    <w:basedOn w:val="Style_1"/>
    <w:link w:val="Style_4_ch"/>
    <w:pPr>
      <w:spacing w:after="120" w:before="120"/>
      <w:ind/>
    </w:pPr>
    <w:rPr>
      <w:i w:val="1"/>
    </w:rPr>
  </w:style>
  <w:style w:styleId="Style_4_ch" w:type="character">
    <w:name w:val="caption"/>
    <w:basedOn w:val="Style_1_ch"/>
    <w:link w:val="Style_4"/>
    <w:rPr>
      <w:i w:val="1"/>
    </w:rPr>
  </w:style>
  <w:style w:styleId="Style_5" w:type="paragraph">
    <w:name w:val="toc 6"/>
    <w:next w:val="Style_1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1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Endnote"/>
    <w:link w:val="Style_7_ch"/>
    <w:pPr>
      <w:ind w:firstLine="851" w:left="0"/>
      <w:jc w:val="both"/>
    </w:pPr>
    <w:rPr>
      <w:rFonts w:ascii="XO Thames" w:hAnsi="XO Thames"/>
      <w:sz w:val="22"/>
    </w:rPr>
  </w:style>
  <w:style w:styleId="Style_7_ch" w:type="character">
    <w:name w:val="Endnote"/>
    <w:link w:val="Style_7"/>
    <w:rPr>
      <w:rFonts w:ascii="XO Thames" w:hAnsi="XO Thames"/>
      <w:sz w:val="22"/>
    </w:rPr>
  </w:style>
  <w:style w:styleId="Style_8" w:type="paragraph">
    <w:name w:val="heading 3"/>
    <w:next w:val="Style_1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9" w:type="paragraph">
    <w:name w:val="Body Text"/>
    <w:basedOn w:val="Style_1"/>
    <w:link w:val="Style_9_ch"/>
    <w:pPr>
      <w:spacing w:after="140" w:line="288" w:lineRule="auto"/>
      <w:ind/>
    </w:pPr>
  </w:style>
  <w:style w:styleId="Style_9_ch" w:type="character">
    <w:name w:val="Body Text"/>
    <w:basedOn w:val="Style_1_ch"/>
    <w:link w:val="Style_9"/>
  </w:style>
  <w:style w:styleId="Style_10" w:type="paragraph">
    <w:name w:val="Основной шрифт абзаца1"/>
    <w:link w:val="Style_10_ch"/>
  </w:style>
  <w:style w:styleId="Style_10_ch" w:type="character">
    <w:name w:val="Основной шрифт абзаца1"/>
    <w:link w:val="Style_10"/>
  </w:style>
  <w:style w:styleId="Style_11" w:type="paragraph">
    <w:name w:val="Текст выноски Знак"/>
    <w:link w:val="Style_11_ch"/>
    <w:rPr>
      <w:rFonts w:ascii="Tahoma" w:hAnsi="Tahoma"/>
      <w:sz w:val="16"/>
    </w:rPr>
  </w:style>
  <w:style w:styleId="Style_11_ch" w:type="character">
    <w:name w:val="Текст выноски Знак"/>
    <w:link w:val="Style_11"/>
    <w:rPr>
      <w:rFonts w:ascii="Tahoma" w:hAnsi="Tahoma"/>
      <w:sz w:val="16"/>
    </w:rPr>
  </w:style>
  <w:style w:styleId="Style_12" w:type="paragraph">
    <w:name w:val="Balloon Text"/>
    <w:basedOn w:val="Style_1"/>
    <w:link w:val="Style_12_ch"/>
    <w:rPr>
      <w:rFonts w:ascii="Tahoma" w:hAnsi="Tahoma"/>
      <w:sz w:val="16"/>
    </w:rPr>
  </w:style>
  <w:style w:styleId="Style_12_ch" w:type="character">
    <w:name w:val="Balloon Text"/>
    <w:basedOn w:val="Style_1_ch"/>
    <w:link w:val="Style_12"/>
    <w:rPr>
      <w:rFonts w:ascii="Tahoma" w:hAnsi="Tahoma"/>
      <w:sz w:val="16"/>
    </w:rPr>
  </w:style>
  <w:style w:styleId="Style_13" w:type="paragraph">
    <w:name w:val="toc 3"/>
    <w:next w:val="Style_1"/>
    <w:link w:val="Style_13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3_ch" w:type="character">
    <w:name w:val="toc 3"/>
    <w:link w:val="Style_13"/>
    <w:rPr>
      <w:rFonts w:ascii="XO Thames" w:hAnsi="XO Thames"/>
      <w:sz w:val="28"/>
    </w:rPr>
  </w:style>
  <w:style w:styleId="Style_14" w:type="paragraph">
    <w:name w:val="heading 5"/>
    <w:next w:val="Style_1"/>
    <w:link w:val="Style_1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4_ch" w:type="character">
    <w:name w:val="heading 5"/>
    <w:link w:val="Style_14"/>
    <w:rPr>
      <w:rFonts w:ascii="XO Thames" w:hAnsi="XO Thames"/>
      <w:b w:val="1"/>
      <w:sz w:val="22"/>
    </w:rPr>
  </w:style>
  <w:style w:styleId="Style_15" w:type="paragraph">
    <w:name w:val="Указатель1"/>
    <w:basedOn w:val="Style_1"/>
    <w:link w:val="Style_15_ch"/>
  </w:style>
  <w:style w:styleId="Style_15_ch" w:type="character">
    <w:name w:val="Указатель1"/>
    <w:basedOn w:val="Style_1_ch"/>
    <w:link w:val="Style_15"/>
  </w:style>
  <w:style w:styleId="Style_16" w:type="paragraph">
    <w:name w:val="heading 1"/>
    <w:next w:val="Style_1"/>
    <w:link w:val="Style_16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6_ch" w:type="character">
    <w:name w:val="heading 1"/>
    <w:link w:val="Style_16"/>
    <w:rPr>
      <w:rFonts w:ascii="XO Thames" w:hAnsi="XO Thames"/>
      <w:b w:val="1"/>
      <w:sz w:val="32"/>
    </w:rPr>
  </w:style>
  <w:style w:styleId="Style_17" w:type="paragraph">
    <w:name w:val="Hyperlink"/>
    <w:link w:val="Style_17_ch"/>
    <w:rPr>
      <w:color w:val="0000FF"/>
      <w:u w:val="single"/>
    </w:rPr>
  </w:style>
  <w:style w:styleId="Style_17_ch" w:type="character">
    <w:name w:val="Hyperlink"/>
    <w:link w:val="Style_17"/>
    <w:rPr>
      <w:color w:val="0000FF"/>
      <w:u w:val="single"/>
    </w:rPr>
  </w:style>
  <w:style w:styleId="Style_18" w:type="paragraph">
    <w:name w:val="Footnote"/>
    <w:link w:val="Style_18_ch"/>
    <w:pPr>
      <w:ind w:firstLine="851" w:left="0"/>
      <w:jc w:val="both"/>
    </w:pPr>
    <w:rPr>
      <w:rFonts w:ascii="XO Thames" w:hAnsi="XO Thames"/>
      <w:sz w:val="22"/>
    </w:rPr>
  </w:style>
  <w:style w:styleId="Style_18_ch" w:type="character">
    <w:name w:val="Footnote"/>
    <w:link w:val="Style_18"/>
    <w:rPr>
      <w:rFonts w:ascii="XO Thames" w:hAnsi="XO Thames"/>
      <w:sz w:val="22"/>
    </w:rPr>
  </w:style>
  <w:style w:styleId="Style_19" w:type="paragraph">
    <w:name w:val="toc 1"/>
    <w:next w:val="Style_1"/>
    <w:link w:val="Style_1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9_ch" w:type="character">
    <w:name w:val="toc 1"/>
    <w:link w:val="Style_19"/>
    <w:rPr>
      <w:rFonts w:ascii="XO Thames" w:hAnsi="XO Thames"/>
      <w:b w:val="1"/>
      <w:sz w:val="28"/>
    </w:rPr>
  </w:style>
  <w:style w:styleId="Style_20" w:type="paragraph">
    <w:name w:val="Header and Footer"/>
    <w:link w:val="Style_20_ch"/>
    <w:pPr>
      <w:spacing w:line="240" w:lineRule="auto"/>
      <w:ind/>
      <w:jc w:val="both"/>
    </w:pPr>
    <w:rPr>
      <w:rFonts w:ascii="XO Thames" w:hAnsi="XO Thames"/>
      <w:sz w:val="28"/>
    </w:rPr>
  </w:style>
  <w:style w:styleId="Style_20_ch" w:type="character">
    <w:name w:val="Header and Footer"/>
    <w:link w:val="Style_20"/>
    <w:rPr>
      <w:rFonts w:ascii="XO Thames" w:hAnsi="XO Thames"/>
      <w:sz w:val="28"/>
    </w:rPr>
  </w:style>
  <w:style w:styleId="Style_21" w:type="paragraph">
    <w:name w:val="toc 9"/>
    <w:next w:val="Style_1"/>
    <w:link w:val="Style_21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1_ch" w:type="character">
    <w:name w:val="toc 9"/>
    <w:link w:val="Style_21"/>
    <w:rPr>
      <w:rFonts w:ascii="XO Thames" w:hAnsi="XO Thames"/>
      <w:sz w:val="28"/>
    </w:rPr>
  </w:style>
  <w:style w:styleId="Style_22" w:type="paragraph">
    <w:name w:val="List"/>
    <w:basedOn w:val="Style_9"/>
    <w:link w:val="Style_22_ch"/>
  </w:style>
  <w:style w:styleId="Style_22_ch" w:type="character">
    <w:name w:val="List"/>
    <w:basedOn w:val="Style_9_ch"/>
    <w:link w:val="Style_22"/>
  </w:style>
  <w:style w:styleId="Style_23" w:type="paragraph">
    <w:name w:val="Default Paragraph Font"/>
    <w:link w:val="Style_23_ch"/>
  </w:style>
  <w:style w:styleId="Style_23_ch" w:type="character">
    <w:name w:val="Default Paragraph Font"/>
    <w:link w:val="Style_23"/>
  </w:style>
  <w:style w:styleId="Style_24" w:type="paragraph">
    <w:name w:val="toc 8"/>
    <w:next w:val="Style_1"/>
    <w:link w:val="Style_24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4_ch" w:type="character">
    <w:name w:val="toc 8"/>
    <w:link w:val="Style_24"/>
    <w:rPr>
      <w:rFonts w:ascii="XO Thames" w:hAnsi="XO Thames"/>
      <w:sz w:val="28"/>
    </w:rPr>
  </w:style>
  <w:style w:styleId="Style_25" w:type="paragraph">
    <w:name w:val="toc 5"/>
    <w:next w:val="Style_1"/>
    <w:link w:val="Style_25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5_ch" w:type="character">
    <w:name w:val="toc 5"/>
    <w:link w:val="Style_25"/>
    <w:rPr>
      <w:rFonts w:ascii="XO Thames" w:hAnsi="XO Thames"/>
      <w:sz w:val="28"/>
    </w:rPr>
  </w:style>
  <w:style w:styleId="Style_26" w:type="paragraph">
    <w:name w:val="Subtitle"/>
    <w:next w:val="Style_1"/>
    <w:link w:val="Style_26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6_ch" w:type="character">
    <w:name w:val="Subtitle"/>
    <w:link w:val="Style_26"/>
    <w:rPr>
      <w:rFonts w:ascii="XO Thames" w:hAnsi="XO Thames"/>
      <w:i w:val="1"/>
      <w:sz w:val="24"/>
    </w:rPr>
  </w:style>
  <w:style w:styleId="Style_27" w:type="paragraph">
    <w:name w:val="Заголовок"/>
    <w:basedOn w:val="Style_1"/>
    <w:next w:val="Style_9"/>
    <w:link w:val="Style_27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27_ch" w:type="character">
    <w:name w:val="Заголовок"/>
    <w:basedOn w:val="Style_1_ch"/>
    <w:link w:val="Style_27"/>
    <w:rPr>
      <w:rFonts w:ascii="Liberation Sans" w:hAnsi="Liberation Sans"/>
      <w:sz w:val="28"/>
    </w:rPr>
  </w:style>
  <w:style w:styleId="Style_28" w:type="paragraph">
    <w:name w:val="Title"/>
    <w:next w:val="Style_1"/>
    <w:link w:val="Style_28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8_ch" w:type="character">
    <w:name w:val="Title"/>
    <w:link w:val="Style_28"/>
    <w:rPr>
      <w:rFonts w:ascii="XO Thames" w:hAnsi="XO Thames"/>
      <w:b w:val="1"/>
      <w:caps w:val="1"/>
      <w:sz w:val="40"/>
    </w:rPr>
  </w:style>
  <w:style w:styleId="Style_29" w:type="paragraph">
    <w:name w:val="heading 4"/>
    <w:next w:val="Style_1"/>
    <w:link w:val="Style_29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9_ch" w:type="character">
    <w:name w:val="heading 4"/>
    <w:link w:val="Style_29"/>
    <w:rPr>
      <w:rFonts w:ascii="XO Thames" w:hAnsi="XO Thames"/>
      <w:b w:val="1"/>
      <w:sz w:val="24"/>
    </w:rPr>
  </w:style>
  <w:style w:styleId="Style_30" w:type="paragraph">
    <w:name w:val="heading 2"/>
    <w:next w:val="Style_1"/>
    <w:link w:val="Style_30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0_ch" w:type="character">
    <w:name w:val="heading 2"/>
    <w:link w:val="Style_30"/>
    <w:rPr>
      <w:rFonts w:ascii="XO Thames" w:hAnsi="XO Thames"/>
      <w:b w:val="1"/>
      <w:sz w:val="28"/>
    </w:rPr>
  </w:style>
  <w:style w:default="1" w:styleId="Style_3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2024-09-12T15:49:00Z</dcterms:modified>
</cp:coreProperties>
</file>