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ПОЯСНИТЕЛЬНАЯ ЗАПИСКА</w:t>
      </w:r>
    </w:p>
    <w:p w14:paraId="02000000">
      <w:pPr>
        <w:pStyle w:val="Style_1"/>
        <w:rPr>
          <w:sz w:val="24"/>
        </w:rPr>
      </w:pPr>
    </w:p>
    <w:p w14:paraId="03000000">
      <w:pPr>
        <w:pStyle w:val="Style_2"/>
        <w:widowControl w:val="1"/>
        <w:ind w:right="-5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проекту областного закона «О внесении изменений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статьи </w:t>
      </w:r>
      <w:r>
        <w:rPr>
          <w:rFonts w:ascii="Times New Roman" w:hAnsi="Times New Roman"/>
          <w:sz w:val="28"/>
        </w:rPr>
        <w:t xml:space="preserve">5 и 15 </w:t>
      </w:r>
      <w:r>
        <w:rPr>
          <w:rFonts w:ascii="Times New Roman" w:hAnsi="Times New Roman"/>
          <w:sz w:val="28"/>
        </w:rPr>
        <w:t>Областн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региональных налогах и некоторых вопросах налогообложения в Ростовской области»</w:t>
      </w:r>
    </w:p>
    <w:p w14:paraId="04000000">
      <w:pPr>
        <w:widowControl w:val="0"/>
        <w:ind w:firstLine="709" w:left="0"/>
        <w:jc w:val="both"/>
        <w:rPr>
          <w:color w:val="000000"/>
        </w:rPr>
      </w:pPr>
    </w:p>
    <w:p w14:paraId="0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Проект областного закона «О внесении изменений </w:t>
      </w:r>
      <w:r>
        <w:rPr>
          <w:sz w:val="28"/>
        </w:rPr>
        <w:t xml:space="preserve">в </w:t>
      </w:r>
      <w:r>
        <w:rPr>
          <w:sz w:val="28"/>
        </w:rPr>
        <w:t xml:space="preserve">статьи 5 и 15 </w:t>
      </w:r>
      <w:r>
        <w:rPr>
          <w:sz w:val="28"/>
        </w:rPr>
        <w:t>Областн</w:t>
      </w:r>
      <w:r>
        <w:rPr>
          <w:sz w:val="28"/>
        </w:rPr>
        <w:t>о</w:t>
      </w:r>
      <w:r>
        <w:rPr>
          <w:sz w:val="28"/>
        </w:rPr>
        <w:t xml:space="preserve">го </w:t>
      </w:r>
      <w:r>
        <w:rPr>
          <w:sz w:val="28"/>
        </w:rPr>
        <w:t>закон</w:t>
      </w:r>
      <w:r>
        <w:rPr>
          <w:sz w:val="28"/>
        </w:rPr>
        <w:t xml:space="preserve">а </w:t>
      </w:r>
      <w:r>
        <w:rPr>
          <w:sz w:val="28"/>
        </w:rPr>
        <w:t xml:space="preserve">«О региональных налогах и некоторых вопросах налогообложения </w:t>
      </w:r>
      <w:r>
        <w:rPr>
          <w:sz w:val="28"/>
        </w:rPr>
        <w:br/>
      </w:r>
      <w:r>
        <w:rPr>
          <w:sz w:val="28"/>
        </w:rPr>
        <w:t xml:space="preserve">в Ростовской области» (далее - законопроект) </w:t>
      </w:r>
      <w:r>
        <w:rPr>
          <w:sz w:val="28"/>
        </w:rPr>
        <w:t xml:space="preserve">разработан </w:t>
      </w:r>
      <w:r>
        <w:rPr>
          <w:sz w:val="28"/>
        </w:rPr>
        <w:t xml:space="preserve">в целях </w:t>
      </w:r>
      <w:r>
        <w:rPr>
          <w:sz w:val="28"/>
        </w:rPr>
        <w:t>равномерного распределения налоговой нагрузки по транспортному налогу.</w:t>
      </w:r>
    </w:p>
    <w:p w14:paraId="0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Налоговым кодексом Российской Федерации транспортный налог относится к региональным налогам. Согласно нормам Бюджетного кодекса Российской Федерации транспортный налог </w:t>
      </w:r>
      <w:r>
        <w:rPr>
          <w:sz w:val="28"/>
        </w:rPr>
        <w:t>отн</w:t>
      </w:r>
      <w:r>
        <w:rPr>
          <w:sz w:val="28"/>
        </w:rPr>
        <w:t>о</w:t>
      </w:r>
      <w:r>
        <w:rPr>
          <w:sz w:val="28"/>
        </w:rPr>
        <w:t>с</w:t>
      </w:r>
      <w:r>
        <w:rPr>
          <w:sz w:val="28"/>
        </w:rPr>
        <w:t>ится</w:t>
      </w:r>
      <w:r>
        <w:rPr>
          <w:sz w:val="28"/>
        </w:rPr>
        <w:t xml:space="preserve"> к </w:t>
      </w:r>
      <w:r>
        <w:rPr>
          <w:sz w:val="28"/>
        </w:rPr>
        <w:t>источник</w:t>
      </w:r>
      <w:r>
        <w:rPr>
          <w:sz w:val="28"/>
        </w:rPr>
        <w:t>а</w:t>
      </w:r>
      <w:r>
        <w:rPr>
          <w:sz w:val="28"/>
        </w:rPr>
        <w:t xml:space="preserve">м формирования доходов дорожного фонда субъекта Российской Федерации. В Ростовской области </w:t>
      </w:r>
      <w:r>
        <w:rPr>
          <w:sz w:val="28"/>
        </w:rPr>
        <w:t>Областн</w:t>
      </w:r>
      <w:r>
        <w:rPr>
          <w:sz w:val="28"/>
        </w:rPr>
        <w:t>ым</w:t>
      </w:r>
      <w:r>
        <w:rPr>
          <w:sz w:val="28"/>
        </w:rPr>
        <w:t xml:space="preserve"> закон</w:t>
      </w:r>
      <w:r>
        <w:rPr>
          <w:sz w:val="28"/>
        </w:rPr>
        <w:t>ом</w:t>
      </w:r>
      <w:r>
        <w:rPr>
          <w:sz w:val="28"/>
        </w:rPr>
        <w:t xml:space="preserve"> от 26.12.2016 </w:t>
      </w:r>
      <w:r>
        <w:rPr>
          <w:sz w:val="28"/>
        </w:rPr>
        <w:t>№</w:t>
      </w:r>
      <w:r>
        <w:rPr>
          <w:sz w:val="28"/>
        </w:rPr>
        <w:t xml:space="preserve"> 834-ЗС </w:t>
      </w:r>
      <w:r>
        <w:rPr>
          <w:sz w:val="28"/>
        </w:rPr>
        <w:t>«</w:t>
      </w:r>
      <w:r>
        <w:rPr>
          <w:sz w:val="28"/>
        </w:rPr>
        <w:t>О межбюджетных отношениях органов государственной власти и органов местного самоуправления в Ростовской области</w:t>
      </w:r>
      <w:r>
        <w:rPr>
          <w:sz w:val="28"/>
        </w:rPr>
        <w:t xml:space="preserve">» </w:t>
      </w:r>
      <w:r>
        <w:rPr>
          <w:sz w:val="28"/>
        </w:rPr>
        <w:t xml:space="preserve">транспортный налог </w:t>
      </w:r>
      <w:r>
        <w:rPr>
          <w:sz w:val="28"/>
        </w:rPr>
        <w:t xml:space="preserve">в полном объеме передан в местные бюджеты </w:t>
      </w:r>
      <w:r>
        <w:rPr>
          <w:sz w:val="28"/>
        </w:rPr>
        <w:br/>
      </w:r>
      <w:r>
        <w:rPr>
          <w:sz w:val="28"/>
        </w:rPr>
        <w:t>и является одним из основных собственных доходных источников муниципальных дорожных фондов. Средства дорожных фондов носят исключительно целевой характер и могут расходоваться исключительно на дорожную деятельность.</w:t>
      </w:r>
    </w:p>
    <w:p w14:paraId="0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Устанавливая налог, законодательные органы субъектов Российской Федерации определяют налоговую ставку в пределах, установленных главой 28 Налогового кодекса Российской Федерации, а также могут предусматривать налоговые </w:t>
      </w:r>
      <w:r>
        <w:rPr>
          <w:color w:themeColor="text1" w:val="000000"/>
          <w:sz w:val="28"/>
        </w:rPr>
        <w:fldChar w:fldCharType="begin"/>
      </w:r>
      <w:r>
        <w:rPr>
          <w:color w:themeColor="text1" w:val="000000"/>
          <w:sz w:val="28"/>
        </w:rPr>
        <w:instrText>HYPERLINK "https://login.consultant.ru/link/?req=doc&amp;base=LAW&amp;n=472079&amp;dst=100003"</w:instrText>
      </w:r>
      <w:r>
        <w:rPr>
          <w:color w:themeColor="text1" w:val="000000"/>
          <w:sz w:val="28"/>
        </w:rPr>
        <w:fldChar w:fldCharType="separate"/>
      </w:r>
      <w:r>
        <w:rPr>
          <w:color w:themeColor="text1" w:val="000000"/>
          <w:sz w:val="28"/>
        </w:rPr>
        <w:t>льготы</w:t>
      </w:r>
      <w:r>
        <w:rPr>
          <w:color w:themeColor="text1" w:val="000000"/>
          <w:sz w:val="28"/>
        </w:rPr>
        <w:fldChar w:fldCharType="end"/>
      </w:r>
      <w:r>
        <w:rPr>
          <w:sz w:val="28"/>
        </w:rPr>
        <w:t xml:space="preserve">, основания и порядок их применения. </w:t>
      </w:r>
    </w:p>
    <w:p w14:paraId="08000000">
      <w:pPr>
        <w:ind w:firstLine="709" w:left="0"/>
        <w:jc w:val="both"/>
        <w:rPr>
          <w:sz w:val="28"/>
        </w:rPr>
      </w:pPr>
      <w:r>
        <w:rPr>
          <w:sz w:val="28"/>
        </w:rPr>
        <w:t>Начиная с 2019 года льготы по транспортному налогу</w:t>
      </w:r>
      <w:r>
        <w:rPr>
          <w:sz w:val="28"/>
        </w:rPr>
        <w:t xml:space="preserve">, установленные </w:t>
      </w:r>
      <w:r>
        <w:rPr>
          <w:sz w:val="28"/>
        </w:rPr>
        <w:br/>
      </w:r>
      <w:r>
        <w:rPr>
          <w:sz w:val="28"/>
        </w:rPr>
        <w:t xml:space="preserve">в регионе, ежегодно </w:t>
      </w:r>
      <w:r>
        <w:rPr>
          <w:sz w:val="28"/>
        </w:rPr>
        <w:t>расширялись и переформатировались</w:t>
      </w:r>
      <w:r>
        <w:rPr>
          <w:sz w:val="28"/>
        </w:rPr>
        <w:t xml:space="preserve">. </w:t>
      </w:r>
    </w:p>
    <w:p w14:paraId="0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настоящее время от уплаты транспортного налога в полном объеме освобождены </w:t>
      </w:r>
      <w:r>
        <w:rPr>
          <w:sz w:val="28"/>
        </w:rPr>
        <w:t>Герои Советского Союза, Российской Федерации, Социалистического Труда, граждане, являющиеся полными кавалерами ордена Славы, ветераны, чернобыльцы,</w:t>
      </w:r>
      <w:r>
        <w:rPr>
          <w:sz w:val="28"/>
        </w:rPr>
        <w:t xml:space="preserve"> </w:t>
      </w:r>
      <w:r>
        <w:rPr>
          <w:sz w:val="28"/>
        </w:rPr>
        <w:t>инвалиды, опекуны инвалидов с детства, многодетные, родители и не вступившие в повторный брак супруги инвалидов боевых действий, ветеранов боевых действий, погибших при исполнении своих служебных обязанностей</w:t>
      </w:r>
      <w:r>
        <w:rPr>
          <w:sz w:val="28"/>
        </w:rPr>
        <w:t>, участники специальной военной операции и их семьи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A000000">
      <w:pPr>
        <w:ind w:firstLine="709" w:left="0"/>
        <w:jc w:val="both"/>
        <w:rPr>
          <w:sz w:val="28"/>
        </w:rPr>
      </w:pPr>
      <w:r>
        <w:rPr>
          <w:sz w:val="28"/>
        </w:rPr>
        <w:t>Все это льготы социального характера</w:t>
      </w:r>
      <w:r>
        <w:rPr>
          <w:sz w:val="28"/>
        </w:rPr>
        <w:t>,</w:t>
      </w:r>
      <w:r>
        <w:rPr>
          <w:sz w:val="28"/>
        </w:rPr>
        <w:t xml:space="preserve"> обеспечивающие дополнительные меры поддержки </w:t>
      </w:r>
      <w:r>
        <w:rPr>
          <w:sz w:val="28"/>
        </w:rPr>
        <w:t>отдельным</w:t>
      </w:r>
      <w:r>
        <w:rPr>
          <w:sz w:val="28"/>
        </w:rPr>
        <w:t xml:space="preserve"> категориям граждан.</w:t>
      </w:r>
      <w:r>
        <w:rPr>
          <w:sz w:val="28"/>
        </w:rPr>
        <w:t xml:space="preserve"> </w:t>
      </w:r>
      <w:r>
        <w:rPr>
          <w:sz w:val="28"/>
        </w:rPr>
        <w:t xml:space="preserve">Объем налоговых льгот по транспортному налогу социальной направленности составляет 403 </w:t>
      </w:r>
      <w:r>
        <w:rPr>
          <w:sz w:val="28"/>
        </w:rPr>
        <w:t>млн</w:t>
      </w:r>
      <w:r>
        <w:rPr>
          <w:sz w:val="28"/>
        </w:rPr>
        <w:t xml:space="preserve"> рублей.</w:t>
      </w:r>
    </w:p>
    <w:p w14:paraId="0B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В целях сохранения социальной налоговой поддержки законопроектом предлагается продлить </w:t>
      </w:r>
      <w:r>
        <w:rPr>
          <w:sz w:val="28"/>
        </w:rPr>
        <w:t>на</w:t>
      </w:r>
      <w:r>
        <w:rPr>
          <w:sz w:val="28"/>
        </w:rPr>
        <w:t xml:space="preserve"> налоговы</w:t>
      </w:r>
      <w:r>
        <w:rPr>
          <w:sz w:val="28"/>
        </w:rPr>
        <w:t>й</w:t>
      </w:r>
      <w:r>
        <w:rPr>
          <w:sz w:val="28"/>
        </w:rPr>
        <w:t xml:space="preserve"> период 202</w:t>
      </w:r>
      <w:r>
        <w:rPr>
          <w:sz w:val="28"/>
        </w:rPr>
        <w:t>4 года</w:t>
      </w:r>
      <w:r>
        <w:rPr>
          <w:sz w:val="28"/>
        </w:rPr>
        <w:t xml:space="preserve"> (по срок</w:t>
      </w:r>
      <w:r>
        <w:rPr>
          <w:sz w:val="28"/>
        </w:rPr>
        <w:t>у</w:t>
      </w:r>
      <w:r>
        <w:rPr>
          <w:sz w:val="28"/>
        </w:rPr>
        <w:t xml:space="preserve"> уплаты 1 декабря 202</w:t>
      </w:r>
      <w:r>
        <w:rPr>
          <w:sz w:val="28"/>
        </w:rPr>
        <w:t xml:space="preserve">5 </w:t>
      </w:r>
      <w:r>
        <w:rPr>
          <w:sz w:val="28"/>
        </w:rPr>
        <w:t>года)</w:t>
      </w:r>
      <w:r>
        <w:rPr>
          <w:sz w:val="28"/>
        </w:rPr>
        <w:t xml:space="preserve"> </w:t>
      </w:r>
      <w:r>
        <w:rPr>
          <w:sz w:val="28"/>
        </w:rPr>
        <w:t>льготу в виде полного освобождения</w:t>
      </w:r>
      <w:r>
        <w:rPr>
          <w:sz w:val="28"/>
        </w:rPr>
        <w:t xml:space="preserve"> от уплаты транспортного налога</w:t>
      </w:r>
      <w:r>
        <w:rPr>
          <w:sz w:val="28"/>
        </w:rPr>
        <w:t xml:space="preserve"> для граждан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призванны</w:t>
      </w:r>
      <w:r>
        <w:rPr>
          <w:sz w:val="28"/>
        </w:rPr>
        <w:t>х</w:t>
      </w:r>
      <w:r>
        <w:rPr>
          <w:sz w:val="28"/>
        </w:rPr>
        <w:t xml:space="preserve"> на военную службу по мобилизации в Вооруженные Силы Российской Федерации, граждан, заключивши</w:t>
      </w:r>
      <w:r>
        <w:rPr>
          <w:sz w:val="28"/>
        </w:rPr>
        <w:t>х</w:t>
      </w:r>
      <w:r>
        <w:rPr>
          <w:sz w:val="28"/>
        </w:rPr>
        <w:t xml:space="preserve"> в связи с участием в специальной военной операции контракт о прохождении военной службы или контракт </w:t>
      </w:r>
      <w:r>
        <w:rPr>
          <w:sz w:val="28"/>
        </w:rPr>
        <w:br/>
      </w:r>
      <w:r>
        <w:rPr>
          <w:sz w:val="28"/>
        </w:rPr>
        <w:t>о пребывании в добровольческом формировании, а также их супруг</w:t>
      </w:r>
      <w:r>
        <w:rPr>
          <w:sz w:val="28"/>
        </w:rPr>
        <w:t>у</w:t>
      </w:r>
      <w:r>
        <w:rPr>
          <w:sz w:val="28"/>
        </w:rPr>
        <w:t xml:space="preserve"> (супруг</w:t>
      </w:r>
      <w:r>
        <w:rPr>
          <w:sz w:val="28"/>
        </w:rPr>
        <w:t>а</w:t>
      </w:r>
      <w:r>
        <w:rPr>
          <w:sz w:val="28"/>
        </w:rPr>
        <w:t>), несовершеннолетни</w:t>
      </w:r>
      <w:r>
        <w:rPr>
          <w:sz w:val="28"/>
        </w:rPr>
        <w:t>х</w:t>
      </w:r>
      <w:r>
        <w:rPr>
          <w:sz w:val="28"/>
        </w:rPr>
        <w:t xml:space="preserve"> дет</w:t>
      </w:r>
      <w:r>
        <w:rPr>
          <w:sz w:val="28"/>
        </w:rPr>
        <w:t>ей</w:t>
      </w:r>
      <w:r>
        <w:rPr>
          <w:sz w:val="28"/>
        </w:rPr>
        <w:t>, родител</w:t>
      </w:r>
      <w:r>
        <w:rPr>
          <w:sz w:val="28"/>
        </w:rPr>
        <w:t>ей</w:t>
      </w:r>
      <w:r>
        <w:rPr>
          <w:sz w:val="28"/>
        </w:rPr>
        <w:t xml:space="preserve"> (усыновител</w:t>
      </w:r>
      <w:r>
        <w:rPr>
          <w:sz w:val="28"/>
        </w:rPr>
        <w:t>ей</w:t>
      </w:r>
      <w:r>
        <w:rPr>
          <w:sz w:val="28"/>
        </w:rPr>
        <w:t>).</w:t>
      </w:r>
      <w:r>
        <w:rPr>
          <w:sz w:val="28"/>
        </w:rPr>
        <w:t xml:space="preserve"> </w:t>
      </w:r>
    </w:p>
    <w:p w14:paraId="0C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Оценочно объем льготы составит 12 </w:t>
      </w:r>
      <w:r>
        <w:rPr>
          <w:sz w:val="28"/>
        </w:rPr>
        <w:t>млн</w:t>
      </w:r>
      <w:r>
        <w:rPr>
          <w:sz w:val="28"/>
        </w:rPr>
        <w:t xml:space="preserve"> рублей.</w:t>
      </w:r>
    </w:p>
    <w:p w14:paraId="0D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В качестве одного из механизмов стимулирования </w:t>
      </w:r>
      <w:r>
        <w:rPr>
          <w:sz w:val="28"/>
        </w:rPr>
        <w:t>перевода транспортных средств на использование природного газа в качестве моторного топлива п</w:t>
      </w:r>
      <w:r>
        <w:rPr>
          <w:sz w:val="28"/>
        </w:rPr>
        <w:t xml:space="preserve">редлагается </w:t>
      </w:r>
      <w:r>
        <w:rPr>
          <w:sz w:val="28"/>
        </w:rPr>
        <w:t>продлить срок действия льготы в виде полного освобождения от уплаты транспортного налога</w:t>
      </w:r>
      <w:r>
        <w:rPr>
          <w:sz w:val="28"/>
        </w:rPr>
        <w:t xml:space="preserve"> </w:t>
      </w:r>
      <w:r>
        <w:rPr>
          <w:sz w:val="28"/>
        </w:rPr>
        <w:t xml:space="preserve">налогоплательщиков </w:t>
      </w:r>
      <w:r>
        <w:rPr>
          <w:sz w:val="28"/>
        </w:rPr>
        <w:t>в отношении указанных транспортных средств до 31.12.20</w:t>
      </w:r>
      <w:r>
        <w:rPr>
          <w:sz w:val="28"/>
        </w:rPr>
        <w:t>30</w:t>
      </w:r>
      <w:r>
        <w:rPr>
          <w:sz w:val="28"/>
        </w:rPr>
        <w:t xml:space="preserve"> включительно. </w:t>
      </w:r>
      <w:r>
        <w:rPr>
          <w:sz w:val="28"/>
        </w:rPr>
        <w:t xml:space="preserve">Оценочно объем льготы составит </w:t>
      </w:r>
      <w:r>
        <w:rPr>
          <w:sz w:val="28"/>
        </w:rPr>
        <w:t>51</w:t>
      </w:r>
      <w:r>
        <w:rPr>
          <w:sz w:val="28"/>
        </w:rPr>
        <w:t xml:space="preserve"> </w:t>
      </w:r>
      <w:r>
        <w:rPr>
          <w:sz w:val="28"/>
        </w:rPr>
        <w:t>млн</w:t>
      </w:r>
      <w:r>
        <w:rPr>
          <w:sz w:val="28"/>
        </w:rPr>
        <w:t xml:space="preserve"> рублей ежегодно.</w:t>
      </w:r>
    </w:p>
    <w:p w14:paraId="0E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Также </w:t>
      </w:r>
      <w:r>
        <w:rPr>
          <w:sz w:val="28"/>
        </w:rPr>
        <w:t xml:space="preserve">предлагается </w:t>
      </w:r>
      <w:r>
        <w:rPr>
          <w:sz w:val="28"/>
        </w:rPr>
        <w:t xml:space="preserve">продлить </w:t>
      </w:r>
      <w:r>
        <w:rPr>
          <w:sz w:val="28"/>
        </w:rPr>
        <w:t xml:space="preserve">на </w:t>
      </w:r>
      <w:r>
        <w:rPr>
          <w:sz w:val="28"/>
        </w:rPr>
        <w:t xml:space="preserve">2025 год льготы в виде полного освобождения от уплаты транспортного налога </w:t>
      </w:r>
      <w:r>
        <w:rPr>
          <w:sz w:val="28"/>
        </w:rPr>
        <w:t>собственников электромобилей исключительно на электродвигателе и уплачива</w:t>
      </w:r>
      <w:r>
        <w:rPr>
          <w:sz w:val="28"/>
        </w:rPr>
        <w:t>ющих</w:t>
      </w:r>
      <w:r>
        <w:rPr>
          <w:sz w:val="28"/>
        </w:rPr>
        <w:t xml:space="preserve"> налог в размере 50% от его суммы собственников «гибридных» электромобилей.</w:t>
      </w:r>
      <w:r>
        <w:rPr>
          <w:sz w:val="28"/>
        </w:rPr>
        <w:t xml:space="preserve"> Льгота введена в целях </w:t>
      </w:r>
      <w:r>
        <w:rPr>
          <w:sz w:val="28"/>
        </w:rPr>
        <w:t xml:space="preserve">реализации плана мероприятий по развитию производства и использования электрического автомобильного транспорта в Российской Федерации. </w:t>
      </w:r>
      <w:r>
        <w:rPr>
          <w:sz w:val="28"/>
        </w:rPr>
        <w:t xml:space="preserve">Оценочно объем льготы составит </w:t>
      </w:r>
      <w:r>
        <w:rPr>
          <w:sz w:val="28"/>
        </w:rPr>
        <w:t>21</w:t>
      </w:r>
      <w:r>
        <w:rPr>
          <w:sz w:val="28"/>
        </w:rPr>
        <w:t xml:space="preserve"> </w:t>
      </w:r>
      <w:r>
        <w:rPr>
          <w:sz w:val="28"/>
        </w:rPr>
        <w:t>млн</w:t>
      </w:r>
      <w:r>
        <w:rPr>
          <w:sz w:val="28"/>
        </w:rPr>
        <w:t xml:space="preserve"> рублей.</w:t>
      </w:r>
    </w:p>
    <w:p w14:paraId="0F000000">
      <w:pPr>
        <w:ind w:firstLine="851" w:left="0"/>
        <w:jc w:val="both"/>
        <w:rPr>
          <w:sz w:val="28"/>
        </w:rPr>
      </w:pPr>
      <w:r>
        <w:rPr>
          <w:sz w:val="28"/>
        </w:rPr>
        <w:t>В качестве компенсационной меры по покрытию выпадающих доходов от предоставления льгот и в целях увеличения доходов местных бюджетов в части дорожного фонда законопроектом</w:t>
      </w:r>
      <w:r>
        <w:rPr>
          <w:sz w:val="28"/>
        </w:rPr>
        <w:t xml:space="preserve"> предлагается установить </w:t>
      </w:r>
      <w:r>
        <w:rPr>
          <w:sz w:val="28"/>
        </w:rPr>
        <w:t>ставк</w:t>
      </w:r>
      <w:r>
        <w:rPr>
          <w:sz w:val="28"/>
        </w:rPr>
        <w:t>и</w:t>
      </w:r>
      <w:r>
        <w:rPr>
          <w:sz w:val="28"/>
        </w:rPr>
        <w:t xml:space="preserve"> по транспортному налогу (с каждой лошадиной силы) в отношении:</w:t>
      </w:r>
    </w:p>
    <w:p w14:paraId="10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легковых автомобилей с мощностью двигателя свыше 100 л.с. до 150 л.с. включительно </w:t>
      </w:r>
      <w:r>
        <w:rPr>
          <w:sz w:val="28"/>
        </w:rPr>
        <w:t>в размере</w:t>
      </w:r>
      <w:r>
        <w:rPr>
          <w:sz w:val="28"/>
        </w:rPr>
        <w:t xml:space="preserve"> 20 рублей;</w:t>
      </w:r>
    </w:p>
    <w:p w14:paraId="11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мотоциклов с мощностью двигателя до 20 л.с. – 5 рублей, свыше 20 л.с. </w:t>
      </w:r>
      <w:r>
        <w:rPr>
          <w:sz w:val="28"/>
        </w:rPr>
        <w:br/>
      </w:r>
      <w:r>
        <w:rPr>
          <w:sz w:val="28"/>
        </w:rPr>
        <w:t>до 35 л.с. включительно – 10 рублей;</w:t>
      </w:r>
    </w:p>
    <w:p w14:paraId="12000000">
      <w:pPr>
        <w:ind w:firstLine="851" w:left="0"/>
        <w:jc w:val="both"/>
        <w:rPr>
          <w:sz w:val="28"/>
        </w:rPr>
      </w:pPr>
      <w:r>
        <w:rPr>
          <w:sz w:val="28"/>
        </w:rPr>
        <w:t>автобусов с мощностью двигателя до 200 л.с. включительно – 25 рублей, свыше 200 л.с. – 50 рублей;</w:t>
      </w:r>
    </w:p>
    <w:p w14:paraId="13000000">
      <w:pPr>
        <w:ind w:firstLine="851" w:left="0"/>
        <w:jc w:val="both"/>
        <w:rPr>
          <w:sz w:val="28"/>
        </w:rPr>
      </w:pPr>
      <w:r>
        <w:rPr>
          <w:sz w:val="28"/>
        </w:rPr>
        <w:t>грузовых автомобилей с мощностью двигателя свыше 100 л.с. до 150 л.с. включительно – 30 рублей, свыше 150 л.с. до 200 л.с</w:t>
      </w:r>
      <w:r>
        <w:rPr>
          <w:sz w:val="28"/>
        </w:rPr>
        <w:t>.</w:t>
      </w:r>
      <w:r>
        <w:rPr>
          <w:sz w:val="28"/>
        </w:rPr>
        <w:t xml:space="preserve"> включительно – 40 рублей, свыше 200 л.с. до 250 л.с. включительно – 50 рублей, свыше 250 л.с</w:t>
      </w:r>
      <w:r>
        <w:rPr>
          <w:sz w:val="28"/>
        </w:rPr>
        <w:t>.</w:t>
      </w:r>
      <w:r>
        <w:rPr>
          <w:sz w:val="28"/>
        </w:rPr>
        <w:t xml:space="preserve"> – 65 рублей;</w:t>
      </w:r>
    </w:p>
    <w:p w14:paraId="14000000">
      <w:pPr>
        <w:ind w:firstLine="851" w:left="0"/>
        <w:jc w:val="both"/>
        <w:rPr>
          <w:sz w:val="28"/>
        </w:rPr>
      </w:pPr>
      <w:r>
        <w:rPr>
          <w:sz w:val="28"/>
        </w:rPr>
        <w:t>катеров, моторных лодок и других водных транспортных средств с мощностью двигателя свыше 100 л.с. – 150 рублей;</w:t>
      </w:r>
    </w:p>
    <w:p w14:paraId="15000000">
      <w:pPr>
        <w:ind w:firstLine="851" w:left="0"/>
        <w:jc w:val="both"/>
        <w:rPr>
          <w:sz w:val="28"/>
        </w:rPr>
      </w:pPr>
      <w:r>
        <w:rPr>
          <w:sz w:val="28"/>
        </w:rPr>
        <w:t>самолетов, вертолетов и иных воздушных судов – 150 рублей;</w:t>
      </w:r>
    </w:p>
    <w:p w14:paraId="16000000">
      <w:pPr>
        <w:ind w:firstLine="851" w:left="0"/>
        <w:jc w:val="both"/>
        <w:rPr>
          <w:sz w:val="28"/>
        </w:rPr>
      </w:pPr>
      <w:r>
        <w:rPr>
          <w:sz w:val="28"/>
        </w:rPr>
        <w:t>самолетов, имеющих реактивные двигатели – 125 рублей.</w:t>
      </w:r>
    </w:p>
    <w:p w14:paraId="17000000">
      <w:pPr>
        <w:ind w:firstLine="851" w:left="0"/>
        <w:jc w:val="both"/>
        <w:rPr>
          <w:sz w:val="28"/>
        </w:rPr>
      </w:pPr>
      <w:r>
        <w:rPr>
          <w:sz w:val="28"/>
        </w:rPr>
        <w:t>Для несамоходных (буксируемых) судов с каждой регистрационной тонны валовой вместимости ставку установить на уровне 50 рублей.</w:t>
      </w:r>
    </w:p>
    <w:p w14:paraId="18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Налоговые ставки, установленные Областным законом от 10.05.2012 </w:t>
      </w:r>
      <w:r>
        <w:rPr>
          <w:sz w:val="28"/>
        </w:rPr>
        <w:br/>
      </w:r>
      <w:r>
        <w:rPr>
          <w:sz w:val="28"/>
        </w:rPr>
        <w:t>№ 843-ЗС «О региональных налогах и некоторых вопросах налогообложения в Ростовской области»</w:t>
      </w:r>
      <w:r>
        <w:rPr>
          <w:sz w:val="28"/>
        </w:rPr>
        <w:t>,</w:t>
      </w:r>
      <w:r>
        <w:rPr>
          <w:sz w:val="28"/>
        </w:rPr>
        <w:t xml:space="preserve"> не повышались с 2008 года. Их величина значительно ниже максимально возможного уровня, допустимого Налоговым кодексом Российской Федерации</w:t>
      </w:r>
      <w:r>
        <w:rPr>
          <w:sz w:val="28"/>
        </w:rPr>
        <w:t>.</w:t>
      </w:r>
    </w:p>
    <w:p w14:paraId="1900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Оценочно дополнительные поступления составят </w:t>
      </w:r>
      <w:r>
        <w:rPr>
          <w:sz w:val="28"/>
        </w:rPr>
        <w:t xml:space="preserve">порядка 500 </w:t>
      </w:r>
      <w:r>
        <w:rPr>
          <w:sz w:val="28"/>
        </w:rPr>
        <w:t>млн</w:t>
      </w:r>
      <w:r>
        <w:rPr>
          <w:sz w:val="28"/>
        </w:rPr>
        <w:t xml:space="preserve"> рублей</w:t>
      </w:r>
      <w:r>
        <w:rPr>
          <w:sz w:val="28"/>
        </w:rPr>
        <w:t xml:space="preserve"> ежегодно</w:t>
      </w:r>
      <w:r>
        <w:rPr>
          <w:sz w:val="28"/>
        </w:rPr>
        <w:t>.</w:t>
      </w:r>
    </w:p>
    <w:p w14:paraId="1A000000">
      <w:pPr>
        <w:ind w:firstLine="851" w:left="0"/>
        <w:jc w:val="both"/>
        <w:rPr>
          <w:sz w:val="28"/>
        </w:rPr>
      </w:pPr>
      <w:r>
        <w:rPr>
          <w:sz w:val="28"/>
        </w:rPr>
        <w:t>Принятие законопроекта не потребует расходов из областного бюджета.</w:t>
      </w:r>
    </w:p>
    <w:p w14:paraId="1B000000">
      <w:pPr>
        <w:pStyle w:val="Style_3"/>
        <w:widowControl w:val="1"/>
        <w:spacing w:line="252" w:lineRule="auto"/>
        <w:ind w:firstLine="0" w:left="0" w:right="-365"/>
        <w:jc w:val="both"/>
        <w:rPr>
          <w:rFonts w:ascii="Times New Roman" w:hAnsi="Times New Roman"/>
          <w:b w:val="1"/>
          <w:sz w:val="24"/>
        </w:rPr>
      </w:pPr>
    </w:p>
    <w:tbl>
      <w:tblPr>
        <w:tblStyle w:val="Style_4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473"/>
        <w:gridCol w:w="6732"/>
      </w:tblGrid>
      <w:tr>
        <w:tc>
          <w:tcPr>
            <w:tcW w:type="dxa" w:w="347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C000000">
            <w:pPr>
              <w:pStyle w:val="Style_3"/>
              <w:widowControl w:val="1"/>
              <w:spacing w:line="252" w:lineRule="auto"/>
              <w:ind w:firstLine="0" w:left="0" w:right="-36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Губернатора</w:t>
            </w:r>
          </w:p>
        </w:tc>
        <w:tc>
          <w:tcPr>
            <w:tcW w:type="dxa" w:w="673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D000000">
            <w:pPr>
              <w:pStyle w:val="Style_3"/>
              <w:widowControl w:val="1"/>
              <w:spacing w:line="252" w:lineRule="auto"/>
              <w:ind w:firstLine="0" w:left="0" w:right="-365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347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E000000">
            <w:pPr>
              <w:pStyle w:val="Style_3"/>
              <w:widowControl w:val="1"/>
              <w:spacing w:line="252" w:lineRule="auto"/>
              <w:ind w:firstLine="0" w:left="0" w:right="-365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Ростовской области –</w:t>
            </w:r>
          </w:p>
        </w:tc>
        <w:tc>
          <w:tcPr>
            <w:tcW w:type="dxa" w:w="673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F000000">
            <w:pPr>
              <w:pStyle w:val="Style_3"/>
              <w:widowControl w:val="1"/>
              <w:spacing w:line="252" w:lineRule="auto"/>
              <w:ind w:firstLine="0" w:left="0" w:right="-365"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347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0000000">
            <w:pPr>
              <w:pStyle w:val="Style_3"/>
              <w:widowControl w:val="1"/>
              <w:spacing w:line="252" w:lineRule="auto"/>
              <w:ind w:firstLine="0" w:left="0" w:right="-365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 финансов</w:t>
            </w:r>
          </w:p>
        </w:tc>
        <w:tc>
          <w:tcPr>
            <w:tcW w:type="dxa" w:w="673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1000000">
            <w:pPr>
              <w:pStyle w:val="Style_3"/>
              <w:widowControl w:val="1"/>
              <w:spacing w:line="252" w:lineRule="auto"/>
              <w:ind w:firstLine="0" w:left="0" w:right="-108"/>
              <w:jc w:val="righ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Л.В. Федотова</w:t>
            </w:r>
          </w:p>
        </w:tc>
      </w:tr>
    </w:tbl>
    <w:p w14:paraId="22000000">
      <w:pPr>
        <w:pStyle w:val="Style_3"/>
        <w:widowControl w:val="1"/>
        <w:spacing w:line="252" w:lineRule="auto"/>
        <w:ind w:firstLine="0" w:left="0" w:right="-365"/>
        <w:jc w:val="both"/>
        <w:rPr>
          <w:rFonts w:ascii="Times New Roman" w:hAnsi="Times New Roman"/>
          <w:sz w:val="2"/>
        </w:rPr>
      </w:pPr>
    </w:p>
    <w:sectPr>
      <w:pgSz w:h="16838" w:orient="portrait" w:w="11906"/>
      <w:pgMar w:bottom="851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List Paragraph"/>
    <w:basedOn w:val="Style_5"/>
    <w:link w:val="Style_8_ch"/>
    <w:pPr>
      <w:ind w:firstLine="0" w:left="720"/>
      <w:contextualSpacing w:val="1"/>
    </w:pPr>
  </w:style>
  <w:style w:styleId="Style_8_ch" w:type="character">
    <w:name w:val="List Paragraph"/>
    <w:basedOn w:val="Style_5_ch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style3"/>
    <w:basedOn w:val="Style_5"/>
    <w:link w:val="Style_12_ch"/>
    <w:pPr>
      <w:spacing w:afterAutospacing="on" w:beforeAutospacing="on"/>
      <w:ind/>
    </w:pPr>
  </w:style>
  <w:style w:styleId="Style_12_ch" w:type="character">
    <w:name w:val="style3"/>
    <w:basedOn w:val="Style_5_ch"/>
    <w:link w:val="Style_12"/>
  </w:style>
  <w:style w:styleId="Style_13" w:type="paragraph">
    <w:name w:val="header"/>
    <w:basedOn w:val="Style_5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5_ch"/>
    <w:link w:val="Style_13"/>
  </w:style>
  <w:style w:styleId="Style_14" w:type="paragraph">
    <w:name w:val="Default"/>
    <w:link w:val="Style_14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4_ch" w:type="character">
    <w:name w:val="Default"/>
    <w:link w:val="Style_14"/>
    <w:rPr>
      <w:rFonts w:ascii="Times New Roman" w:hAnsi="Times New Roman"/>
      <w:color w:val="000000"/>
      <w:sz w:val="24"/>
    </w:rPr>
  </w:style>
  <w:style w:styleId="Style_15" w:type="paragraph">
    <w:name w:val="Normal (Web)"/>
    <w:basedOn w:val="Style_5"/>
    <w:link w:val="Style_15_ch"/>
    <w:pPr>
      <w:spacing w:after="33" w:before="33"/>
      <w:ind/>
    </w:pPr>
  </w:style>
  <w:style w:styleId="Style_15_ch" w:type="character">
    <w:name w:val="Normal (Web)"/>
    <w:basedOn w:val="Style_5_ch"/>
    <w:link w:val="Style_15"/>
  </w:style>
  <w:style w:styleId="Style_16" w:type="paragraph">
    <w:name w:val="footer"/>
    <w:basedOn w:val="Style_5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5_ch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page number"/>
    <w:basedOn w:val="Style_19"/>
    <w:link w:val="Style_18_ch"/>
  </w:style>
  <w:style w:styleId="Style_18_ch" w:type="character">
    <w:name w:val="page number"/>
    <w:basedOn w:val="Style_19_ch"/>
    <w:link w:val="Style_18"/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1" w:type="paragraph">
    <w:name w:val="heading 1"/>
    <w:next w:val="Style_5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Strong"/>
    <w:basedOn w:val="Style_19"/>
    <w:link w:val="Style_22_ch"/>
    <w:rPr>
      <w:b w:val="1"/>
    </w:rPr>
  </w:style>
  <w:style w:styleId="Style_22_ch" w:type="character">
    <w:name w:val="Strong"/>
    <w:basedOn w:val="Style_19_ch"/>
    <w:link w:val="Style_22"/>
    <w:rPr>
      <w:b w:val="1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Основной текст5"/>
    <w:basedOn w:val="Style_5"/>
    <w:link w:val="Style_25_ch"/>
    <w:pPr>
      <w:spacing w:after="240" w:line="322" w:lineRule="exact"/>
      <w:ind w:hanging="720" w:left="720"/>
      <w:jc w:val="center"/>
    </w:pPr>
    <w:rPr>
      <w:rFonts w:asciiTheme="minorAscii" w:hAnsiTheme="minorHAnsi"/>
      <w:sz w:val="26"/>
    </w:rPr>
  </w:style>
  <w:style w:styleId="Style_25_ch" w:type="character">
    <w:name w:val="Основной текст5"/>
    <w:basedOn w:val="Style_5_ch"/>
    <w:link w:val="Style_25"/>
    <w:rPr>
      <w:rFonts w:asciiTheme="minorAscii" w:hAnsiTheme="minorHAnsi"/>
      <w:sz w:val="26"/>
    </w:rPr>
  </w:style>
  <w:style w:styleId="Style_26" w:type="paragraph">
    <w:name w:val="toc 1"/>
    <w:next w:val="Style_5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5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3" w:type="paragraph">
    <w:name w:val="ConsNormal"/>
    <w:link w:val="Style_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_ch" w:type="character">
    <w:name w:val="ConsNormal"/>
    <w:link w:val="Style_3"/>
    <w:rPr>
      <w:rFonts w:ascii="Arial" w:hAnsi="Arial"/>
      <w:sz w:val="20"/>
    </w:rPr>
  </w:style>
  <w:style w:styleId="Style_29" w:type="paragraph">
    <w:name w:val="toc 8"/>
    <w:next w:val="Style_5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ConsPlusNormal"/>
    <w:link w:val="Style_30_ch"/>
    <w:pPr>
      <w:widowControl w:val="0"/>
      <w:spacing w:after="0" w:line="240" w:lineRule="auto"/>
      <w:ind/>
    </w:pPr>
    <w:rPr>
      <w:rFonts w:ascii="Calibri" w:hAnsi="Calibri"/>
    </w:rPr>
  </w:style>
  <w:style w:styleId="Style_30_ch" w:type="character">
    <w:name w:val="ConsPlusNormal"/>
    <w:link w:val="Style_30"/>
    <w:rPr>
      <w:rFonts w:ascii="Calibri" w:hAnsi="Calibri"/>
    </w:rPr>
  </w:style>
  <w:style w:styleId="Style_31" w:type="paragraph">
    <w:name w:val="toc 5"/>
    <w:next w:val="Style_5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Balloon Text"/>
    <w:basedOn w:val="Style_5"/>
    <w:link w:val="Style_32_ch"/>
    <w:rPr>
      <w:rFonts w:ascii="Tahoma" w:hAnsi="Tahoma"/>
      <w:sz w:val="16"/>
    </w:rPr>
  </w:style>
  <w:style w:styleId="Style_32_ch" w:type="character">
    <w:name w:val="Balloon Text"/>
    <w:basedOn w:val="Style_5_ch"/>
    <w:link w:val="Style_32"/>
    <w:rPr>
      <w:rFonts w:ascii="Tahoma" w:hAnsi="Tahoma"/>
      <w:sz w:val="16"/>
    </w:rPr>
  </w:style>
  <w:style w:styleId="Style_2" w:type="paragraph">
    <w:name w:val="Con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16"/>
    </w:rPr>
  </w:style>
  <w:style w:styleId="Style_2_ch" w:type="character">
    <w:name w:val="ConsTitle"/>
    <w:link w:val="Style_2"/>
    <w:rPr>
      <w:rFonts w:ascii="Arial" w:hAnsi="Arial"/>
      <w:b w:val="1"/>
      <w:sz w:val="16"/>
    </w:rPr>
  </w:style>
  <w:style w:styleId="Style_33" w:type="paragraph">
    <w:name w:val="Subtitle"/>
    <w:next w:val="Style_5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1" w:type="paragraph">
    <w:name w:val="Title"/>
    <w:basedOn w:val="Style_5"/>
    <w:link w:val="Style_1_ch"/>
    <w:uiPriority w:val="10"/>
    <w:qFormat/>
    <w:pPr>
      <w:ind/>
      <w:jc w:val="center"/>
    </w:pPr>
    <w:rPr>
      <w:b w:val="1"/>
      <w:sz w:val="28"/>
    </w:rPr>
  </w:style>
  <w:style w:styleId="Style_1_ch" w:type="character">
    <w:name w:val="Title"/>
    <w:basedOn w:val="Style_5_ch"/>
    <w:link w:val="Style_1"/>
    <w:rPr>
      <w:b w:val="1"/>
      <w:sz w:val="28"/>
    </w:rPr>
  </w:style>
  <w:style w:styleId="Style_34" w:type="paragraph">
    <w:name w:val="heading 4"/>
    <w:next w:val="Style_5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5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4" w:type="table">
    <w:name w:val="Table Grid"/>
    <w:basedOn w:val="Style_36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2024-07-09T09:02:51Z</dcterms:modified>
</cp:coreProperties>
</file>