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 к проекту областного закона «О внесении изменения в статью 11</w:t>
      </w:r>
      <w:r>
        <w:rPr>
          <w:b w:val="1"/>
          <w:sz w:val="28"/>
        </w:rPr>
        <w:t>¹</w:t>
      </w:r>
      <w:r>
        <w:rPr>
          <w:b w:val="1"/>
          <w:sz w:val="28"/>
        </w:rPr>
        <w:br/>
      </w:r>
      <w:r>
        <w:rPr>
          <w:b w:val="1"/>
          <w:sz w:val="28"/>
        </w:rPr>
        <w:t xml:space="preserve">Областного закона «О социальной поддержке детства в Ростовской области»  </w:t>
      </w:r>
    </w:p>
    <w:p w14:paraId="03000000">
      <w:pPr>
        <w:ind w:firstLine="720" w:left="0"/>
        <w:jc w:val="both"/>
        <w:rPr>
          <w:sz w:val="28"/>
        </w:rPr>
      </w:pPr>
    </w:p>
    <w:p w14:paraId="04000000">
      <w:pPr>
        <w:widowControl w:val="0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Федеральным законом от 12.07.2024 № 175-ФЗ б</w:t>
      </w:r>
      <w:r>
        <w:rPr>
          <w:rFonts w:ascii="Times New Roman" w:hAnsi="Times New Roman"/>
          <w:b w:val="0"/>
          <w:sz w:val="28"/>
        </w:rPr>
        <w:t>ыли внесены изменения в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Федеральный закон от 27.11.2023 № 540-ФЗ «О федеральном бюджете 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2024 год и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на плановый период 2025 и 2026 годов»,</w:t>
      </w:r>
      <w:r>
        <w:rPr>
          <w:rFonts w:ascii="Times New Roman" w:hAnsi="Times New Roman"/>
          <w:b w:val="0"/>
          <w:sz w:val="28"/>
        </w:rPr>
        <w:t xml:space="preserve"> устанавливающие 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2024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год уровень инфляции</w:t>
      </w:r>
      <w:r>
        <w:rPr>
          <w:rFonts w:ascii="Times New Roman" w:hAnsi="Times New Roman"/>
          <w:b w:val="0"/>
          <w:sz w:val="28"/>
        </w:rPr>
        <w:t xml:space="preserve"> в размере 5,1 %. </w:t>
      </w:r>
    </w:p>
    <w:p w14:paraId="05000000">
      <w:pPr>
        <w:widowControl w:val="0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В этой связи </w:t>
      </w:r>
      <w:r>
        <w:rPr>
          <w:rFonts w:ascii="Times New Roman" w:hAnsi="Times New Roman"/>
          <w:b w:val="0"/>
          <w:sz w:val="28"/>
        </w:rPr>
        <w:t xml:space="preserve">распоряжением Правительства Ростовской области от 19.07.2024 № 544 </w:t>
      </w:r>
      <w:r>
        <w:rPr>
          <w:rFonts w:ascii="Times New Roman" w:hAnsi="Times New Roman"/>
          <w:b w:val="0"/>
          <w:sz w:val="28"/>
        </w:rPr>
        <w:t>«О прогнозе социально-экономического развития Ростовской области 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 xml:space="preserve">2025-2027 </w:t>
      </w:r>
      <w:r>
        <w:rPr>
          <w:rFonts w:ascii="Times New Roman" w:hAnsi="Times New Roman"/>
          <w:b w:val="0"/>
          <w:sz w:val="28"/>
        </w:rPr>
        <w:t>годы</w:t>
      </w:r>
      <w:r>
        <w:rPr>
          <w:rFonts w:ascii="Times New Roman" w:hAnsi="Times New Roman"/>
          <w:b w:val="0"/>
          <w:sz w:val="28"/>
        </w:rPr>
        <w:t xml:space="preserve">» </w:t>
      </w:r>
      <w:r>
        <w:rPr>
          <w:rFonts w:ascii="Times New Roman" w:hAnsi="Times New Roman"/>
          <w:b w:val="0"/>
          <w:sz w:val="28"/>
        </w:rPr>
        <w:t xml:space="preserve">уточнен показатель </w:t>
      </w:r>
      <w:r>
        <w:rPr>
          <w:rFonts w:ascii="Times New Roman" w:hAnsi="Times New Roman"/>
          <w:b w:val="0"/>
          <w:sz w:val="28"/>
        </w:rPr>
        <w:t>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2024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Fonts w:ascii="Times New Roman" w:hAnsi="Times New Roman"/>
          <w:b w:val="0"/>
          <w:sz w:val="28"/>
        </w:rPr>
        <w:t>год</w:t>
      </w:r>
      <w:r>
        <w:rPr>
          <w:rFonts w:ascii="Times New Roman" w:hAnsi="Times New Roman"/>
          <w:b w:val="0"/>
          <w:sz w:val="28"/>
        </w:rPr>
        <w:t xml:space="preserve"> «индекс потребительских цен» - 5,1 %. </w:t>
      </w:r>
    </w:p>
    <w:p w14:paraId="06000000">
      <w:pPr>
        <w:widowControl w:val="0"/>
        <w:ind w:firstLine="709" w:lef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В</w:t>
      </w:r>
      <w:r>
        <w:rPr>
          <w:rStyle w:val="Style_1_ch"/>
          <w:rFonts w:ascii="Times New Roman" w:hAnsi="Times New Roman"/>
          <w:b w:val="0"/>
          <w:sz w:val="28"/>
        </w:rPr>
        <w:t>несение соответствующих изменений п</w:t>
      </w:r>
      <w:r>
        <w:rPr>
          <w:rFonts w:ascii="Times New Roman" w:hAnsi="Times New Roman"/>
          <w:b w:val="0"/>
          <w:sz w:val="28"/>
        </w:rPr>
        <w:t xml:space="preserve">ланируется и </w:t>
      </w:r>
      <w:r>
        <w:rPr>
          <w:rStyle w:val="Style_1_ch"/>
          <w:rFonts w:ascii="Times New Roman" w:hAnsi="Times New Roman"/>
          <w:b w:val="0"/>
          <w:sz w:val="28"/>
        </w:rPr>
        <w:t xml:space="preserve">в </w:t>
      </w:r>
      <w:r>
        <w:rPr>
          <w:rStyle w:val="Style_1_ch"/>
          <w:rFonts w:ascii="Times New Roman" w:hAnsi="Times New Roman"/>
          <w:b w:val="0"/>
          <w:sz w:val="28"/>
        </w:rPr>
        <w:t>Областной закон от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b w:val="0"/>
          <w:sz w:val="28"/>
        </w:rPr>
        <w:t>14.12.</w:t>
      </w:r>
      <w:r>
        <w:rPr>
          <w:rStyle w:val="Style_1_ch"/>
          <w:rFonts w:ascii="Times New Roman" w:hAnsi="Times New Roman"/>
          <w:b w:val="0"/>
          <w:sz w:val="28"/>
        </w:rPr>
        <w:t>2023 № 58-ЗС «Об областном бюджете на 2024 год и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b w:val="0"/>
          <w:sz w:val="28"/>
        </w:rPr>
        <w:t>на</w:t>
      </w:r>
      <w:r>
        <w:rPr>
          <w:rFonts w:ascii="Times New Roman" w:hAnsi="Times New Roman"/>
          <w:b w:val="0"/>
          <w:color w:val="000000"/>
          <w:spacing w:val="0"/>
          <w:sz w:val="28"/>
        </w:rPr>
        <w:t> </w:t>
      </w:r>
      <w:r>
        <w:rPr>
          <w:rStyle w:val="Style_1_ch"/>
          <w:rFonts w:ascii="Times New Roman" w:hAnsi="Times New Roman"/>
          <w:b w:val="0"/>
          <w:sz w:val="28"/>
        </w:rPr>
        <w:t xml:space="preserve">плановый период 2025 и 2026 годов». </w:t>
      </w:r>
    </w:p>
    <w:p w14:paraId="07000000">
      <w:pPr>
        <w:ind w:firstLine="709" w:left="0"/>
        <w:jc w:val="both"/>
        <w:rPr>
          <w:sz w:val="28"/>
        </w:rPr>
      </w:pPr>
      <w:r>
        <w:rPr>
          <w:sz w:val="28"/>
        </w:rPr>
        <w:t>Частью 3 статьи 11</w:t>
      </w:r>
      <w:r>
        <w:rPr>
          <w:sz w:val="28"/>
        </w:rPr>
        <w:t>¹</w:t>
      </w:r>
      <w:r>
        <w:rPr>
          <w:sz w:val="28"/>
        </w:rPr>
        <w:t xml:space="preserve"> Областного закона от 22.10.2004 № 165-ЗС «О</w:t>
      </w:r>
      <w:r>
        <w:rPr>
          <w:sz w:val="28"/>
        </w:rPr>
        <w:t xml:space="preserve"> </w:t>
      </w:r>
      <w:r>
        <w:rPr>
          <w:sz w:val="28"/>
        </w:rPr>
        <w:t xml:space="preserve">социальной поддержке детства в Ростовской области» </w:t>
      </w:r>
      <w:r>
        <w:rPr>
          <w:sz w:val="28"/>
        </w:rPr>
        <w:t>(далее – Областной закон №</w:t>
      </w:r>
      <w:r>
        <w:rPr>
          <w:sz w:val="28"/>
        </w:rPr>
        <w:t xml:space="preserve"> </w:t>
      </w:r>
      <w:r>
        <w:rPr>
          <w:sz w:val="28"/>
        </w:rPr>
        <w:t xml:space="preserve">165-ЗС) </w:t>
      </w:r>
      <w:r>
        <w:rPr>
          <w:sz w:val="28"/>
        </w:rPr>
        <w:t>предусмотрен</w:t>
      </w:r>
      <w:r>
        <w:rPr>
          <w:sz w:val="28"/>
        </w:rPr>
        <w:t>а</w:t>
      </w:r>
      <w:r>
        <w:rPr>
          <w:sz w:val="28"/>
        </w:rPr>
        <w:t xml:space="preserve"> ежегодная индексация </w:t>
      </w:r>
      <w:r>
        <w:rPr>
          <w:sz w:val="28"/>
        </w:rPr>
        <w:t xml:space="preserve">размеров </w:t>
      </w:r>
      <w:r>
        <w:rPr>
          <w:sz w:val="28"/>
        </w:rPr>
        <w:t xml:space="preserve">ежемесячной денежной выплаты </w:t>
      </w:r>
      <w:r>
        <w:rPr>
          <w:sz w:val="28"/>
        </w:rPr>
        <w:t xml:space="preserve">на приобретение низкобелковых и безбелковых продуктов питания семьям, имеющим детей с </w:t>
      </w:r>
      <w:r>
        <w:rPr>
          <w:sz w:val="28"/>
        </w:rPr>
        <w:t>фенилкетонурией</w:t>
      </w:r>
      <w:r>
        <w:rPr>
          <w:sz w:val="28"/>
        </w:rPr>
        <w:t xml:space="preserve"> (далее – ежемесячная денежная выплата) в Ростовской области</w:t>
      </w:r>
      <w:r>
        <w:rPr>
          <w:sz w:val="28"/>
        </w:rPr>
        <w:t>, исходя из определенного областным законом об областном бюджете уровня инфляции.</w:t>
      </w:r>
      <w:r>
        <w:rPr>
          <w:sz w:val="28"/>
        </w:rPr>
        <w:t xml:space="preserve"> Проиндексированная сумма подлежит округлению до</w:t>
      </w:r>
      <w:r>
        <w:rPr>
          <w:sz w:val="28"/>
        </w:rPr>
        <w:t> </w:t>
      </w:r>
      <w:r>
        <w:rPr>
          <w:sz w:val="28"/>
        </w:rPr>
        <w:t>целого рубля в сторону увеличения.</w:t>
      </w:r>
    </w:p>
    <w:p w14:paraId="08000000">
      <w:pPr>
        <w:pStyle w:val="Style_2"/>
      </w:pPr>
      <w:r>
        <w:t>В текущем году ежемесячная денежная выплата была установлена в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t>следующих размерах:</w:t>
      </w:r>
    </w:p>
    <w:p w14:paraId="09000000">
      <w:pPr>
        <w:pStyle w:val="Style_2"/>
      </w:pPr>
      <w:r>
        <w:t xml:space="preserve">на ребенка с </w:t>
      </w:r>
      <w:r>
        <w:t>фенилкетонурией</w:t>
      </w:r>
      <w:r>
        <w:t xml:space="preserve"> в возрасте от 1 года до 1,5 лет – 2 506 рублей;</w:t>
      </w:r>
    </w:p>
    <w:p w14:paraId="0A000000">
      <w:pPr>
        <w:pStyle w:val="Style_2"/>
      </w:pPr>
      <w:r>
        <w:t xml:space="preserve">на ребенка с </w:t>
      </w:r>
      <w:r>
        <w:t>фенилкетонурией</w:t>
      </w:r>
      <w:r>
        <w:t xml:space="preserve"> в возрасте от 1,5 лет до 3 лет – 3 032 рубля;</w:t>
      </w:r>
    </w:p>
    <w:p w14:paraId="0B000000">
      <w:pPr>
        <w:pStyle w:val="Style_2"/>
      </w:pPr>
      <w:r>
        <w:t xml:space="preserve">на ребенка с </w:t>
      </w:r>
      <w:r>
        <w:t>фенилкетонурией</w:t>
      </w:r>
      <w:r>
        <w:t xml:space="preserve"> в возрасте от 3 лет до 5 лет – 4 114 рублей;</w:t>
      </w:r>
    </w:p>
    <w:p w14:paraId="0C000000">
      <w:pPr>
        <w:pStyle w:val="Style_2"/>
      </w:pPr>
      <w:r>
        <w:t xml:space="preserve">на ребенка с </w:t>
      </w:r>
      <w:r>
        <w:t>фенилкетонурией</w:t>
      </w:r>
      <w:r>
        <w:t xml:space="preserve"> в возрасте от 5 лет до 7 лет – 5 580 рублей;</w:t>
      </w:r>
    </w:p>
    <w:p w14:paraId="0D000000">
      <w:pPr>
        <w:pStyle w:val="Style_2"/>
      </w:pPr>
      <w:r>
        <w:t xml:space="preserve">на ребенка с </w:t>
      </w:r>
      <w:r>
        <w:t>фенилкетонурией</w:t>
      </w:r>
      <w:r>
        <w:t xml:space="preserve"> в возрасте от 7 лет до 18 лет – 6 575 рублей.</w:t>
      </w:r>
    </w:p>
    <w:p w14:paraId="0E000000">
      <w:pPr>
        <w:pStyle w:val="Style_2"/>
      </w:pPr>
      <w:r>
        <w:rPr>
          <w:sz w:val="28"/>
        </w:rPr>
        <w:t>Проектом областного закона «О внесении изменения в статью 11</w:t>
      </w:r>
      <w:r>
        <w:rPr>
          <w:sz w:val="28"/>
        </w:rPr>
        <w:t>¹</w:t>
      </w:r>
      <w:r>
        <w:rPr>
          <w:sz w:val="28"/>
        </w:rPr>
        <w:t xml:space="preserve"> Областного закона «О социальной поддержке детства в Ростовской области»</w:t>
      </w:r>
      <w:r>
        <w:t xml:space="preserve"> предлагается </w:t>
      </w:r>
      <w:r>
        <w:t xml:space="preserve">установить </w:t>
      </w:r>
      <w:r>
        <w:t xml:space="preserve">новые </w:t>
      </w:r>
      <w:r>
        <w:t xml:space="preserve">размеры ежемесячной денежной выплаты, предусмотренные указанным Областным законом </w:t>
      </w:r>
      <w:r>
        <w:t>№ 165-ЗС, с</w:t>
      </w:r>
      <w:r>
        <w:t xml:space="preserve"> </w:t>
      </w:r>
      <w:r>
        <w:t>1</w:t>
      </w:r>
      <w:r>
        <w:t xml:space="preserve"> </w:t>
      </w:r>
      <w:r>
        <w:t xml:space="preserve">января 2024 </w:t>
      </w:r>
      <w:bookmarkStart w:id="1" w:name="_GoBack"/>
      <w:bookmarkEnd w:id="1"/>
      <w:r>
        <w:t>года с учетом индекса 5,1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t>%</w:t>
      </w:r>
      <w:r>
        <w:t>:</w:t>
      </w:r>
    </w:p>
    <w:p w14:paraId="0F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ребенка с </w:t>
      </w:r>
      <w:r>
        <w:rPr>
          <w:sz w:val="28"/>
        </w:rPr>
        <w:t>фенилкетонурией</w:t>
      </w:r>
      <w:r>
        <w:rPr>
          <w:sz w:val="28"/>
        </w:rPr>
        <w:t xml:space="preserve"> в возрасте от 1 года до 1,5 лет – 2 521 рубль;</w:t>
      </w:r>
    </w:p>
    <w:p w14:paraId="10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ребенка с </w:t>
      </w:r>
      <w:r>
        <w:rPr>
          <w:sz w:val="28"/>
        </w:rPr>
        <w:t>фенилкетонурией</w:t>
      </w:r>
      <w:r>
        <w:rPr>
          <w:sz w:val="28"/>
        </w:rPr>
        <w:t xml:space="preserve"> в возрасте от 1,5 лет до 3 лет – 3 049 рублей;</w:t>
      </w:r>
    </w:p>
    <w:p w14:paraId="11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ребенка с </w:t>
      </w:r>
      <w:r>
        <w:rPr>
          <w:sz w:val="28"/>
        </w:rPr>
        <w:t>фенилкетонурией</w:t>
      </w:r>
      <w:r>
        <w:rPr>
          <w:sz w:val="28"/>
        </w:rPr>
        <w:t xml:space="preserve"> в возрасте от 3 лет до 5 лет – 4 137 рублей;</w:t>
      </w:r>
    </w:p>
    <w:p w14:paraId="12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ребенка с </w:t>
      </w:r>
      <w:r>
        <w:rPr>
          <w:sz w:val="28"/>
        </w:rPr>
        <w:t>фенилкетонурией</w:t>
      </w:r>
      <w:r>
        <w:rPr>
          <w:sz w:val="28"/>
        </w:rPr>
        <w:t xml:space="preserve"> в возрасте от 5 лет до 7 лет – 5 612 рублей;</w:t>
      </w:r>
    </w:p>
    <w:p w14:paraId="13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ребенка с </w:t>
      </w:r>
      <w:r>
        <w:rPr>
          <w:sz w:val="28"/>
        </w:rPr>
        <w:t>фенилкетонурией</w:t>
      </w:r>
      <w:r>
        <w:rPr>
          <w:sz w:val="28"/>
        </w:rPr>
        <w:t xml:space="preserve"> в возрасте от 7 лет до 18 лет – 6 612 рублей.</w:t>
      </w:r>
    </w:p>
    <w:tbl>
      <w:tblPr>
        <w:tblStyle w:val="Style_3"/>
        <w:tblW w:type="auto" w:w="0"/>
        <w:tblLayout w:type="fixed"/>
      </w:tblPr>
      <w:tblGrid>
        <w:gridCol w:w="4062"/>
        <w:gridCol w:w="2860"/>
        <w:gridCol w:w="3245"/>
      </w:tblGrid>
      <w:tr>
        <w:trPr>
          <w:trHeight w:hRule="atLeast" w:val="1485"/>
        </w:trPr>
        <w:tc>
          <w:tcPr>
            <w:tcW w:type="dxa" w:w="4062"/>
            <w:vAlign w:val="center"/>
          </w:tcPr>
          <w:p w14:paraId="14000000">
            <w:pPr>
              <w:ind/>
              <w:jc w:val="center"/>
              <w:rPr>
                <w:sz w:val="28"/>
              </w:rPr>
            </w:pPr>
          </w:p>
          <w:p w14:paraId="15000000">
            <w:pPr>
              <w:ind/>
              <w:jc w:val="center"/>
              <w:rPr>
                <w:sz w:val="28"/>
              </w:rPr>
            </w:pPr>
          </w:p>
          <w:p w14:paraId="1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</w:t>
            </w:r>
            <w:r>
              <w:rPr>
                <w:sz w:val="28"/>
              </w:rPr>
              <w:t>инистр труда и социального развития Ростовской области</w:t>
            </w:r>
          </w:p>
        </w:tc>
        <w:tc>
          <w:tcPr>
            <w:tcW w:type="dxa" w:w="2860"/>
          </w:tcPr>
          <w:p w14:paraId="17000000">
            <w:pPr>
              <w:ind w:firstLine="0" w:left="35"/>
              <w:rPr>
                <w:color w:val="FFFFFF"/>
                <w:sz w:val="28"/>
              </w:rPr>
            </w:pPr>
            <w:r>
              <w:rPr>
                <w:color w:val="FFFFFF"/>
                <w:sz w:val="28"/>
              </w:rPr>
              <w:t>[SIGNERSTAMP1]</w:t>
            </w:r>
          </w:p>
        </w:tc>
        <w:tc>
          <w:tcPr>
            <w:tcW w:type="dxa" w:w="3245"/>
            <w:vAlign w:val="center"/>
          </w:tcPr>
          <w:p w14:paraId="18000000">
            <w:pPr>
              <w:ind/>
              <w:jc w:val="right"/>
              <w:rPr>
                <w:sz w:val="28"/>
              </w:rPr>
            </w:pPr>
          </w:p>
          <w:p w14:paraId="19000000">
            <w:pPr>
              <w:ind/>
              <w:jc w:val="right"/>
              <w:rPr>
                <w:sz w:val="28"/>
              </w:rPr>
            </w:pPr>
          </w:p>
          <w:p w14:paraId="1A000000">
            <w:pPr>
              <w:ind/>
              <w:jc w:val="right"/>
              <w:rPr>
                <w:sz w:val="28"/>
              </w:rPr>
            </w:pPr>
          </w:p>
          <w:p w14:paraId="1B000000">
            <w:pPr>
              <w:ind/>
              <w:jc w:val="right"/>
              <w:rPr>
                <w:sz w:val="28"/>
              </w:rPr>
            </w:pPr>
            <w:r>
              <w:rPr>
                <w:sz w:val="28"/>
              </w:rPr>
              <w:t>И.Н. Шувалова</w:t>
            </w:r>
          </w:p>
        </w:tc>
      </w:tr>
    </w:tbl>
    <w:p w14:paraId="1C000000">
      <w:pPr>
        <w:rPr>
          <w:sz w:val="28"/>
        </w:rPr>
      </w:pPr>
    </w:p>
    <w:sectPr>
      <w:pgSz w:h="16838" w:orient="portrait" w:w="11906"/>
      <w:pgMar w:bottom="964" w:footer="709" w:gutter="0" w:header="709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rPr>
      <w:rFonts w:ascii="Times New Roman" w:hAnsi="Times New Roman"/>
      <w:sz w:val="24"/>
    </w:rPr>
  </w:style>
  <w:style w:default="1" w:styleId="Style_1_ch" w:type="character">
    <w:name w:val="Normal"/>
    <w:link w:val="Style_1"/>
    <w:rPr>
      <w:rFonts w:ascii="Times New Roman" w:hAnsi="Times New Roman"/>
      <w:sz w:val="24"/>
    </w:rPr>
  </w:style>
  <w:style w:styleId="Style_4" w:type="paragraph">
    <w:name w:val="toc 2"/>
    <w:next w:val="Style_1"/>
    <w:link w:val="Style_4_ch"/>
    <w:uiPriority w:val="39"/>
    <w:pPr>
      <w:ind w:firstLine="0" w:left="200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1"/>
    <w:link w:val="Style_5_ch"/>
    <w:uiPriority w:val="39"/>
    <w:pPr>
      <w:ind w:firstLine="0" w:left="600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1"/>
    <w:link w:val="Style_6_ch"/>
    <w:uiPriority w:val="39"/>
    <w:pPr>
      <w:ind w:firstLine="0" w:left="1000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1"/>
    <w:link w:val="Style_7_ch"/>
    <w:uiPriority w:val="39"/>
    <w:pPr>
      <w:ind w:firstLine="0" w:left="1200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Balloon Text"/>
    <w:basedOn w:val="Style_1"/>
    <w:link w:val="Style_8_ch"/>
    <w:rPr>
      <w:rFonts w:ascii="Tahoma" w:hAnsi="Tahoma"/>
      <w:sz w:val="16"/>
    </w:rPr>
  </w:style>
  <w:style w:styleId="Style_8_ch" w:type="character">
    <w:name w:val="Balloon Text"/>
    <w:basedOn w:val="Style_1_ch"/>
    <w:link w:val="Style_8"/>
    <w:rPr>
      <w:rFonts w:ascii="Tahoma" w:hAnsi="Tahoma"/>
      <w:sz w:val="16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1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Гиперссылка1"/>
    <w:link w:val="Style_11_ch"/>
    <w:rPr>
      <w:color w:val="0000FF"/>
      <w:u w:val="single"/>
    </w:rPr>
  </w:style>
  <w:style w:styleId="Style_11_ch" w:type="character">
    <w:name w:val="Гиперссылка1"/>
    <w:link w:val="Style_11"/>
    <w:rPr>
      <w:color w:val="0000FF"/>
      <w:u w:val="single"/>
    </w:rPr>
  </w:style>
  <w:style w:styleId="Style_12" w:type="paragraph">
    <w:name w:val="List Paragraph"/>
    <w:basedOn w:val="Style_1"/>
    <w:link w:val="Style_12_ch"/>
    <w:pPr>
      <w:ind w:firstLine="0" w:left="720"/>
      <w:contextualSpacing w:val="1"/>
    </w:pPr>
  </w:style>
  <w:style w:styleId="Style_12_ch" w:type="character">
    <w:name w:val="List Paragraph"/>
    <w:basedOn w:val="Style_1_ch"/>
    <w:link w:val="Style_12"/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toc 3"/>
    <w:next w:val="Style_1"/>
    <w:link w:val="Style_14_ch"/>
    <w:uiPriority w:val="39"/>
    <w:pPr>
      <w:ind w:firstLine="0" w:left="400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15" w:type="paragraph">
    <w:name w:val="Основной шрифт абзаца1"/>
    <w:link w:val="Style_15_ch"/>
  </w:style>
  <w:style w:styleId="Style_15_ch" w:type="character">
    <w:name w:val="Основной шрифт абзаца1"/>
    <w:link w:val="Style_15"/>
  </w:style>
  <w:style w:styleId="Style_16" w:type="paragraph">
    <w:name w:val="Body Text Indent 2"/>
    <w:basedOn w:val="Style_1"/>
    <w:link w:val="Style_16_ch"/>
    <w:pPr>
      <w:ind w:firstLine="3402" w:left="0"/>
      <w:jc w:val="both"/>
    </w:pPr>
  </w:style>
  <w:style w:styleId="Style_16_ch" w:type="character">
    <w:name w:val="Body Text Indent 2"/>
    <w:basedOn w:val="Style_1_ch"/>
    <w:link w:val="Style_16"/>
  </w:style>
  <w:style w:styleId="Style_17" w:type="paragraph">
    <w:name w:val="ConsPlusTitle"/>
    <w:link w:val="Style_17_ch"/>
    <w:pPr>
      <w:widowControl w:val="0"/>
      <w:ind/>
    </w:pPr>
    <w:rPr>
      <w:rFonts w:ascii="Arial" w:hAnsi="Arial"/>
      <w:b w:val="1"/>
    </w:rPr>
  </w:style>
  <w:style w:styleId="Style_17_ch" w:type="character">
    <w:name w:val="ConsPlusTitle"/>
    <w:link w:val="Style_17"/>
    <w:rPr>
      <w:rFonts w:ascii="Arial" w:hAnsi="Arial"/>
      <w:b w:val="1"/>
    </w:rPr>
  </w:style>
  <w:style w:styleId="Style_18" w:type="paragraph">
    <w:name w:val="heading 5"/>
    <w:next w:val="Style_1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basedOn w:val="Style_1"/>
    <w:link w:val="Style_19_ch"/>
    <w:uiPriority w:val="9"/>
    <w:qFormat/>
    <w:pPr>
      <w:ind/>
      <w:outlineLvl w:val="0"/>
    </w:pPr>
    <w:rPr>
      <w:b w:val="1"/>
    </w:rPr>
  </w:style>
  <w:style w:styleId="Style_19_ch" w:type="character">
    <w:name w:val="heading 1"/>
    <w:basedOn w:val="Style_1_ch"/>
    <w:link w:val="Style_19"/>
    <w:rPr>
      <w:b w:val="1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1"/>
    <w:link w:val="Style_22_ch"/>
    <w:uiPriority w:val="39"/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rFonts w:ascii="XO Thames" w:hAnsi="XO Thames"/>
    </w:rPr>
  </w:style>
  <w:style w:styleId="Style_23_ch" w:type="character">
    <w:name w:val="Header and Footer"/>
    <w:link w:val="Style_23"/>
    <w:rPr>
      <w:rFonts w:ascii="XO Thames" w:hAnsi="XO Thames"/>
    </w:rPr>
  </w:style>
  <w:style w:styleId="Style_24" w:type="paragraph">
    <w:name w:val="toc 9"/>
    <w:next w:val="Style_1"/>
    <w:link w:val="Style_24_ch"/>
    <w:uiPriority w:val="39"/>
    <w:pPr>
      <w:ind w:firstLine="0" w:left="1600"/>
    </w:pPr>
    <w:rPr>
      <w:rFonts w:ascii="XO Thames" w:hAnsi="XO Thames"/>
      <w:sz w:val="28"/>
    </w:rPr>
  </w:style>
  <w:style w:styleId="Style_24_ch" w:type="character">
    <w:name w:val="toc 9"/>
    <w:link w:val="Style_24"/>
    <w:rPr>
      <w:rFonts w:ascii="XO Thames" w:hAnsi="XO Thames"/>
      <w:sz w:val="28"/>
    </w:rPr>
  </w:style>
  <w:style w:styleId="Style_25" w:type="paragraph">
    <w:name w:val="toc 8"/>
    <w:next w:val="Style_1"/>
    <w:link w:val="Style_25_ch"/>
    <w:uiPriority w:val="39"/>
    <w:pPr>
      <w:ind w:firstLine="0" w:left="1400"/>
    </w:pPr>
    <w:rPr>
      <w:rFonts w:ascii="XO Thames" w:hAnsi="XO Thames"/>
      <w:sz w:val="28"/>
    </w:rPr>
  </w:style>
  <w:style w:styleId="Style_25_ch" w:type="character">
    <w:name w:val="toc 8"/>
    <w:link w:val="Style_25"/>
    <w:rPr>
      <w:rFonts w:ascii="XO Thames" w:hAnsi="XO Thames"/>
      <w:sz w:val="28"/>
    </w:rPr>
  </w:style>
  <w:style w:styleId="Style_26" w:type="paragraph">
    <w:name w:val="toc 5"/>
    <w:next w:val="Style_1"/>
    <w:link w:val="Style_26_ch"/>
    <w:uiPriority w:val="39"/>
    <w:pPr>
      <w:ind w:firstLine="0" w:left="800"/>
    </w:pPr>
    <w:rPr>
      <w:rFonts w:ascii="XO Thames" w:hAnsi="XO Thames"/>
      <w:sz w:val="28"/>
    </w:rPr>
  </w:style>
  <w:style w:styleId="Style_26_ch" w:type="character">
    <w:name w:val="toc 5"/>
    <w:link w:val="Style_26"/>
    <w:rPr>
      <w:rFonts w:ascii="XO Thames" w:hAnsi="XO Thames"/>
      <w:sz w:val="28"/>
    </w:rPr>
  </w:style>
  <w:style w:styleId="Style_27" w:type="paragraph">
    <w:name w:val="Обычный1"/>
    <w:link w:val="Style_27_ch"/>
    <w:rPr>
      <w:rFonts w:ascii="Times New Roman" w:hAnsi="Times New Roman"/>
      <w:sz w:val="24"/>
    </w:rPr>
  </w:style>
  <w:style w:styleId="Style_27_ch" w:type="character">
    <w:name w:val="Обычный1"/>
    <w:link w:val="Style_27"/>
    <w:rPr>
      <w:rFonts w:ascii="Times New Roman" w:hAnsi="Times New Roman"/>
      <w:sz w:val="24"/>
    </w:rPr>
  </w:style>
  <w:style w:styleId="Style_28" w:type="paragraph">
    <w:name w:val="Subtitle"/>
    <w:next w:val="Style_1"/>
    <w:link w:val="Style_2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8_ch" w:type="character">
    <w:name w:val="Subtitle"/>
    <w:link w:val="Style_28"/>
    <w:rPr>
      <w:rFonts w:ascii="XO Thames" w:hAnsi="XO Thames"/>
      <w:i w:val="1"/>
      <w:sz w:val="24"/>
    </w:rPr>
  </w:style>
  <w:style w:styleId="Style_29" w:type="paragraph">
    <w:name w:val="Title"/>
    <w:next w:val="Style_1"/>
    <w:link w:val="Style_2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9_ch" w:type="character">
    <w:name w:val="Title"/>
    <w:link w:val="Style_29"/>
    <w:rPr>
      <w:rFonts w:ascii="XO Thames" w:hAnsi="XO Thames"/>
      <w:b w:val="1"/>
      <w:caps w:val="1"/>
      <w:sz w:val="40"/>
    </w:rPr>
  </w:style>
  <w:style w:styleId="Style_30" w:type="paragraph">
    <w:name w:val="heading 4"/>
    <w:next w:val="Style_1"/>
    <w:link w:val="Style_3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0_ch" w:type="character">
    <w:name w:val="heading 4"/>
    <w:link w:val="Style_30"/>
    <w:rPr>
      <w:rFonts w:ascii="XO Thames" w:hAnsi="XO Thames"/>
      <w:b w:val="1"/>
      <w:sz w:val="24"/>
    </w:rPr>
  </w:style>
  <w:style w:styleId="Style_2" w:type="paragraph">
    <w:name w:val="Основной текст с отступом 21"/>
    <w:basedOn w:val="Style_1"/>
    <w:link w:val="Style_2_ch"/>
    <w:pPr>
      <w:ind w:firstLine="709" w:left="0"/>
      <w:jc w:val="both"/>
    </w:pPr>
    <w:rPr>
      <w:sz w:val="28"/>
    </w:rPr>
  </w:style>
  <w:style w:styleId="Style_2_ch" w:type="character">
    <w:name w:val="Основной текст с отступом 21"/>
    <w:basedOn w:val="Style_1_ch"/>
    <w:link w:val="Style_2"/>
    <w:rPr>
      <w:sz w:val="28"/>
    </w:rPr>
  </w:style>
  <w:style w:styleId="Style_31" w:type="paragraph">
    <w:name w:val="heading 2"/>
    <w:next w:val="Style_1"/>
    <w:link w:val="Style_3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1_ch" w:type="character">
    <w:name w:val="heading 2"/>
    <w:link w:val="Style_31"/>
    <w:rPr>
      <w:rFonts w:ascii="XO Thames" w:hAnsi="XO Thames"/>
      <w:b w:val="1"/>
      <w:sz w:val="28"/>
    </w:r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2024-09-12T16:00:16Z</dcterms:modified>
</cp:coreProperties>
</file>