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footer+xml" PartName="/word/footer4.xml"/>
  <Override ContentType="application/vnd.openxmlformats-officedocument.wordprocessingml.header+xml" PartName="/word/header1.xml"/>
  <Override ContentType="application/vnd.openxmlformats-officedocument.wordprocessingml.header+xml" PartName="/word/header3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tbl>
      <w:tblPr>
        <w:tblStyle w:val="Style_4"/>
        <w:tblW w:type="auto" w:w="0"/>
        <w:tblInd w:type="dxa" w:w="6408"/>
        <w:tblLayout w:type="fixed"/>
      </w:tblPr>
      <w:tblGrid>
        <w:gridCol w:w="3445"/>
      </w:tblGrid>
      <w:tr>
        <w:tc>
          <w:tcPr>
            <w:tcW w:type="dxa" w:w="3445"/>
          </w:tcPr>
          <w:p w14:paraId="09000000">
            <w:pPr>
              <w:pStyle w:val="Style_5"/>
              <w:ind/>
              <w:jc w:val="right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ПРОЕКТ</w:t>
            </w:r>
          </w:p>
        </w:tc>
      </w:tr>
      <w:tr>
        <w:tc>
          <w:tcPr>
            <w:tcW w:type="dxa" w:w="3445"/>
          </w:tcPr>
          <w:p w14:paraId="0A000000">
            <w:pPr>
              <w:ind/>
              <w:jc w:val="center"/>
            </w:pPr>
          </w:p>
        </w:tc>
      </w:tr>
      <w:tr>
        <w:tc>
          <w:tcPr>
            <w:tcW w:type="dxa" w:w="3445"/>
          </w:tcPr>
          <w:p w14:paraId="0B000000">
            <w:r>
              <w:t xml:space="preserve">Внесен Губернатором </w:t>
            </w:r>
          </w:p>
          <w:p w14:paraId="0C000000">
            <w:r>
              <w:t xml:space="preserve">Ростовской области, </w:t>
            </w:r>
          </w:p>
        </w:tc>
      </w:tr>
      <w:tr>
        <w:tc>
          <w:tcPr>
            <w:tcW w:type="dxa" w:w="3445"/>
          </w:tcPr>
          <w:p/>
        </w:tc>
      </w:tr>
      <w:tr>
        <w:tc>
          <w:tcPr>
            <w:tcW w:type="dxa" w:w="3445"/>
          </w:tcPr>
          <w:p w14:paraId="0D000000">
            <w:r>
              <w:t>Подготовлен департаментом потребительского рынка Ростовской области</w:t>
            </w:r>
          </w:p>
        </w:tc>
      </w:tr>
      <w:tr>
        <w:tc>
          <w:tcPr>
            <w:tcW w:type="dxa" w:w="3445"/>
          </w:tcPr>
          <w:p w14:paraId="0E000000">
            <w:pPr>
              <w:rPr>
                <w:sz w:val="22"/>
              </w:rPr>
            </w:pPr>
          </w:p>
        </w:tc>
      </w:tr>
      <w:tr>
        <w:tc>
          <w:tcPr>
            <w:tcW w:type="dxa" w:w="3445"/>
          </w:tcPr>
          <w:p w14:paraId="0F000000">
            <w:pPr>
              <w:rPr>
                <w:sz w:val="22"/>
              </w:rPr>
            </w:pPr>
          </w:p>
        </w:tc>
      </w:tr>
    </w:tbl>
    <w:p w14:paraId="10000000">
      <w:pPr>
        <w:pStyle w:val="Style_6"/>
        <w:rPr>
          <w:sz w:val="32"/>
        </w:rPr>
      </w:pPr>
    </w:p>
    <w:p w14:paraId="11000000">
      <w:pPr>
        <w:pStyle w:val="Style_6"/>
        <w:rPr>
          <w:sz w:val="32"/>
        </w:rPr>
      </w:pPr>
      <w:r>
        <w:rPr>
          <w:sz w:val="32"/>
        </w:rPr>
        <w:t>ОБЛАСТНОЙ ЗАКОН</w:t>
      </w:r>
    </w:p>
    <w:p w14:paraId="12000000">
      <w:pPr>
        <w:ind/>
        <w:jc w:val="center"/>
        <w:rPr>
          <w:b w:val="1"/>
          <w:sz w:val="20"/>
        </w:rPr>
      </w:pPr>
    </w:p>
    <w:p w14:paraId="13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О ВНЕСЕНИИ ИЗМЕНЕНИЙ В ОБЛАСТНОЙ ЗАКОН</w:t>
      </w:r>
      <w:r>
        <w:rPr>
          <w:b w:val="1"/>
          <w:sz w:val="28"/>
        </w:rPr>
        <w:br/>
      </w:r>
      <w:r>
        <w:rPr>
          <w:b w:val="1"/>
          <w:sz w:val="28"/>
        </w:rPr>
        <w:t xml:space="preserve">«О ГОСУДАРСТВЕННОМ РЕГУЛИРОВАНИИ ПРОИЗВОДСТВА </w:t>
      </w:r>
      <w:r>
        <w:rPr>
          <w:b w:val="1"/>
          <w:sz w:val="28"/>
        </w:rPr>
        <w:br/>
      </w:r>
      <w:r>
        <w:rPr>
          <w:b w:val="1"/>
          <w:sz w:val="28"/>
        </w:rPr>
        <w:t xml:space="preserve">И ОБОРОТА ЭТИЛОВОГО СПИРТА, АЛКОГОЛЬНОЙ И СПИРТОСОДЕРЖАЩЕЙ ПРОДУКЦИИ НА ТЕРРИТОРИИ </w:t>
      </w:r>
    </w:p>
    <w:p w14:paraId="14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РОСТОВСКОЙ ОБЛАСТИ»</w:t>
      </w:r>
    </w:p>
    <w:p w14:paraId="15000000">
      <w:pPr>
        <w:ind/>
        <w:jc w:val="center"/>
        <w:rPr>
          <w:sz w:val="20"/>
        </w:rPr>
      </w:pPr>
    </w:p>
    <w:tbl>
      <w:tblPr>
        <w:tblStyle w:val="Style_4"/>
        <w:tblW w:type="auto" w:w="0"/>
        <w:tblLayout w:type="fixed"/>
      </w:tblPr>
      <w:tblGrid>
        <w:gridCol w:w="4428"/>
        <w:gridCol w:w="5580"/>
      </w:tblGrid>
      <w:tr>
        <w:tc>
          <w:tcPr>
            <w:tcW w:type="dxa" w:w="4428"/>
          </w:tcPr>
          <w:p w14:paraId="16000000">
            <w:pPr>
              <w:pStyle w:val="Style_7"/>
              <w:rPr>
                <w:b w:val="1"/>
              </w:rPr>
            </w:pPr>
            <w:r>
              <w:rPr>
                <w:b w:val="1"/>
              </w:rPr>
              <w:t>Принят</w:t>
            </w:r>
          </w:p>
          <w:p w14:paraId="17000000">
            <w:pPr>
              <w:pStyle w:val="Style_7"/>
              <w:rPr>
                <w:b w:val="1"/>
              </w:rPr>
            </w:pPr>
            <w:r>
              <w:rPr>
                <w:b w:val="1"/>
              </w:rPr>
              <w:t>Законодательным Собранием</w:t>
            </w:r>
          </w:p>
        </w:tc>
        <w:tc>
          <w:tcPr>
            <w:tcW w:type="dxa" w:w="5580"/>
          </w:tcPr>
          <w:p w14:paraId="18000000">
            <w:pPr>
              <w:pStyle w:val="Style_7"/>
              <w:ind/>
              <w:jc w:val="left"/>
              <w:rPr>
                <w:b w:val="1"/>
              </w:rPr>
            </w:pPr>
          </w:p>
          <w:p w14:paraId="19000000">
            <w:pPr>
              <w:pStyle w:val="Style_7"/>
              <w:ind/>
              <w:jc w:val="left"/>
              <w:rPr>
                <w:b w:val="1"/>
              </w:rPr>
            </w:pPr>
            <w:r>
              <w:rPr>
                <w:b w:val="1"/>
              </w:rPr>
              <w:t xml:space="preserve">                               «___» ________ 2024 года</w:t>
            </w:r>
          </w:p>
        </w:tc>
      </w:tr>
    </w:tbl>
    <w:p w14:paraId="1A000000">
      <w:pPr>
        <w:pStyle w:val="Style_7"/>
        <w:ind/>
        <w:jc w:val="left"/>
      </w:pPr>
    </w:p>
    <w:p w14:paraId="1B000000">
      <w:pPr>
        <w:pStyle w:val="Style_7"/>
        <w:ind w:firstLine="709" w:left="0"/>
        <w:jc w:val="left"/>
        <w:rPr>
          <w:b w:val="1"/>
        </w:rPr>
      </w:pPr>
      <w:r>
        <w:rPr>
          <w:b w:val="1"/>
        </w:rPr>
        <w:t>Статья 1</w:t>
      </w:r>
    </w:p>
    <w:p w14:paraId="1C000000">
      <w:pPr>
        <w:tabs>
          <w:tab w:leader="none" w:pos="2415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Внести в Областной закон от 28 декабря 2005 года № 441-ЗC </w:t>
      </w:r>
      <w:r>
        <w:rPr>
          <w:sz w:val="28"/>
        </w:rPr>
        <w:br/>
      </w:r>
      <w:r>
        <w:rPr>
          <w:sz w:val="28"/>
        </w:rPr>
        <w:t>«О государственном регулировании производства и оборота этилового спирта, алкогольной и спиртосодержащей продукции на территории Ростовской области» следующие изменения:</w:t>
      </w:r>
    </w:p>
    <w:p w14:paraId="1D000000">
      <w:pPr>
        <w:pStyle w:val="Style_8"/>
        <w:numPr>
          <w:ilvl w:val="0"/>
          <w:numId w:val="1"/>
        </w:numPr>
        <w:tabs>
          <w:tab w:leader="none" w:pos="2415" w:val="left"/>
        </w:tabs>
        <w:ind/>
        <w:jc w:val="both"/>
        <w:rPr>
          <w:sz w:val="28"/>
        </w:rPr>
      </w:pPr>
      <w:r>
        <w:rPr>
          <w:sz w:val="28"/>
        </w:rPr>
        <w:t>пункт</w:t>
      </w:r>
      <w:r>
        <w:rPr>
          <w:sz w:val="28"/>
        </w:rPr>
        <w:t xml:space="preserve"> </w:t>
      </w:r>
      <w:r>
        <w:rPr>
          <w:sz w:val="28"/>
        </w:rPr>
        <w:t xml:space="preserve">7 части 1 статьи 3 изложить в следующей редакции: </w:t>
      </w:r>
    </w:p>
    <w:p w14:paraId="1E000000">
      <w:pPr>
        <w:ind w:firstLine="709" w:left="0"/>
        <w:jc w:val="both"/>
        <w:rPr>
          <w:sz w:val="28"/>
        </w:rPr>
      </w:pPr>
      <w:r>
        <w:rPr>
          <w:sz w:val="28"/>
        </w:rPr>
        <w:t>«7) принятие решения об образовании государственного областного учреждения, осуществляющего техническое и информационное обеспеч</w:t>
      </w:r>
      <w:r>
        <w:rPr>
          <w:sz w:val="28"/>
        </w:rPr>
        <w:t>ение деятельности уполномоченного областного органа</w:t>
      </w:r>
      <w:r>
        <w:rPr>
          <w:sz w:val="28"/>
        </w:rPr>
        <w:t xml:space="preserve"> исполнительной власти </w:t>
      </w:r>
      <w:r>
        <w:rPr>
          <w:sz w:val="28"/>
        </w:rPr>
        <w:br/>
      </w:r>
      <w:r>
        <w:rPr>
          <w:sz w:val="28"/>
        </w:rPr>
        <w:t>в области производства и оборота этилового спирта, алкогольной</w:t>
      </w:r>
      <w:r>
        <w:rPr>
          <w:sz w:val="28"/>
        </w:rPr>
        <w:t xml:space="preserve"> </w:t>
      </w:r>
      <w:r>
        <w:rPr>
          <w:sz w:val="28"/>
        </w:rPr>
        <w:br/>
      </w:r>
      <w:r>
        <w:rPr>
          <w:sz w:val="28"/>
        </w:rPr>
        <w:t>и спиртосодержащей продукции;»;</w:t>
      </w:r>
    </w:p>
    <w:p w14:paraId="1F000000">
      <w:pPr>
        <w:tabs>
          <w:tab w:leader="none" w:pos="2415" w:val="left"/>
        </w:tabs>
        <w:ind w:firstLine="709" w:left="0"/>
        <w:jc w:val="both"/>
        <w:rPr>
          <w:sz w:val="28"/>
        </w:rPr>
      </w:pPr>
      <w:r>
        <w:rPr>
          <w:sz w:val="28"/>
        </w:rPr>
        <w:t xml:space="preserve">2) </w:t>
      </w:r>
      <w:r>
        <w:rPr>
          <w:sz w:val="28"/>
        </w:rPr>
        <w:t xml:space="preserve">часть 1 статьи 4 </w:t>
      </w:r>
      <w:r>
        <w:rPr>
          <w:sz w:val="28"/>
        </w:rPr>
        <w:t xml:space="preserve">дополнить </w:t>
      </w:r>
      <w:r>
        <w:rPr>
          <w:color w:val="000000"/>
          <w:sz w:val="28"/>
        </w:rPr>
        <w:t>пунктом 8</w:t>
      </w:r>
      <w:r>
        <w:rPr>
          <w:color w:val="000000"/>
          <w:sz w:val="28"/>
          <w:vertAlign w:val="superscript"/>
        </w:rPr>
        <w:t>4</w:t>
      </w:r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следующего </w:t>
      </w:r>
      <w:r>
        <w:rPr>
          <w:sz w:val="28"/>
        </w:rPr>
        <w:t>содержания:</w:t>
      </w:r>
    </w:p>
    <w:p w14:paraId="20000000">
      <w:pPr>
        <w:ind w:firstLine="737" w:left="0"/>
        <w:jc w:val="both"/>
        <w:rPr>
          <w:sz w:val="28"/>
        </w:rPr>
      </w:pPr>
      <w:r>
        <w:rPr>
          <w:color w:val="000000"/>
          <w:sz w:val="28"/>
        </w:rPr>
        <w:t>«</w:t>
      </w:r>
      <w:r>
        <w:rPr>
          <w:color w:val="000000"/>
          <w:sz w:val="28"/>
        </w:rPr>
        <w:t>8</w:t>
      </w:r>
      <w:r>
        <w:rPr>
          <w:color w:val="000000"/>
          <w:sz w:val="28"/>
          <w:vertAlign w:val="superscript"/>
        </w:rPr>
        <w:t>4</w:t>
      </w:r>
      <w:bookmarkStart w:id="1" w:name="_GoBack"/>
      <w:bookmarkEnd w:id="1"/>
      <w:r>
        <w:rPr>
          <w:color w:val="000000"/>
          <w:sz w:val="28"/>
        </w:rPr>
        <w:t>) устанавливает требования к размещению и обустройству сезонного зала (зоны) обслуживания посетителей</w:t>
      </w:r>
      <w:r>
        <w:rPr>
          <w:color w:val="000000"/>
          <w:sz w:val="28"/>
        </w:rPr>
        <w:t>,</w:t>
      </w:r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>в котором может осуществляться розничная продажа алкогольной продукции</w:t>
      </w:r>
      <w:r>
        <w:rPr>
          <w:color w:val="000000"/>
          <w:sz w:val="28"/>
        </w:rPr>
        <w:t xml:space="preserve"> при оказании услуг общественного питания</w:t>
      </w:r>
      <w:r>
        <w:rPr>
          <w:color w:val="000000"/>
          <w:sz w:val="28"/>
        </w:rPr>
        <w:t xml:space="preserve">, утверждает форму и порядок выдачи документа, подтверждающего соответствие </w:t>
      </w:r>
      <w:r>
        <w:rPr>
          <w:color w:val="000000"/>
          <w:sz w:val="28"/>
        </w:rPr>
        <w:t xml:space="preserve">такого </w:t>
      </w:r>
      <w:r>
        <w:rPr>
          <w:color w:val="000000"/>
          <w:sz w:val="28"/>
        </w:rPr>
        <w:t>сезонного зала (зоны) обслужи</w:t>
      </w:r>
      <w:r>
        <w:rPr>
          <w:color w:val="000000"/>
          <w:sz w:val="28"/>
        </w:rPr>
        <w:t xml:space="preserve">вания </w:t>
      </w:r>
      <w:r>
        <w:rPr>
          <w:color w:val="000000"/>
          <w:sz w:val="28"/>
        </w:rPr>
        <w:t xml:space="preserve">посетителей </w:t>
      </w:r>
      <w:r>
        <w:rPr>
          <w:color w:val="000000"/>
          <w:sz w:val="28"/>
        </w:rPr>
        <w:t>у</w:t>
      </w:r>
      <w:r>
        <w:rPr>
          <w:color w:val="000000"/>
          <w:sz w:val="28"/>
        </w:rPr>
        <w:t>казанным</w:t>
      </w:r>
      <w:r>
        <w:rPr>
          <w:color w:val="000000"/>
          <w:sz w:val="28"/>
        </w:rPr>
        <w:t xml:space="preserve"> </w:t>
      </w:r>
      <w:r>
        <w:rPr>
          <w:sz w:val="28"/>
        </w:rPr>
        <w:t>требованиям;</w:t>
      </w:r>
      <w:r>
        <w:rPr>
          <w:sz w:val="28"/>
        </w:rPr>
        <w:t>»;</w:t>
      </w:r>
    </w:p>
    <w:p w14:paraId="21000000">
      <w:pPr>
        <w:ind w:firstLine="737" w:left="0"/>
        <w:jc w:val="both"/>
        <w:rPr>
          <w:color w:val="000000"/>
          <w:sz w:val="28"/>
          <w:highlight w:val="white"/>
        </w:rPr>
      </w:pPr>
      <w:r>
        <w:rPr>
          <w:color w:val="000000"/>
          <w:sz w:val="28"/>
          <w:highlight w:val="white"/>
        </w:rPr>
        <w:t>3) пункт 2 части 1 ст</w:t>
      </w:r>
      <w:r>
        <w:rPr>
          <w:color w:val="000000"/>
          <w:sz w:val="28"/>
          <w:highlight w:val="white"/>
        </w:rPr>
        <w:t>атьи 5 признать утратившим силу;</w:t>
      </w:r>
    </w:p>
    <w:p w14:paraId="22000000">
      <w:pPr>
        <w:ind w:firstLine="737" w:left="0"/>
        <w:jc w:val="both"/>
        <w:rPr>
          <w:color w:val="000000"/>
          <w:sz w:val="28"/>
          <w:highlight w:val="white"/>
        </w:rPr>
      </w:pPr>
      <w:r>
        <w:rPr>
          <w:color w:val="000000"/>
          <w:sz w:val="28"/>
          <w:highlight w:val="white"/>
        </w:rPr>
        <w:t>4) в статье 9²</w:t>
      </w:r>
      <w:r>
        <w:rPr>
          <w:color w:val="000000"/>
          <w:sz w:val="28"/>
          <w:highlight w:val="white"/>
        </w:rPr>
        <w:t>:</w:t>
      </w:r>
    </w:p>
    <w:p w14:paraId="23000000">
      <w:pPr>
        <w:ind w:firstLine="737" w:left="0"/>
        <w:jc w:val="both"/>
        <w:rPr>
          <w:color w:val="000000"/>
          <w:sz w:val="28"/>
          <w:highlight w:val="white"/>
        </w:rPr>
      </w:pPr>
      <w:r>
        <w:rPr>
          <w:color w:val="000000"/>
          <w:sz w:val="28"/>
          <w:highlight w:val="white"/>
        </w:rPr>
        <w:t>а</w:t>
      </w:r>
      <w:r>
        <w:rPr>
          <w:color w:val="000000"/>
          <w:sz w:val="28"/>
          <w:highlight w:val="white"/>
        </w:rPr>
        <w:t>) часть 2 после слов «в местах оказания таких услуг</w:t>
      </w:r>
      <w:r>
        <w:rPr>
          <w:color w:val="000000"/>
          <w:sz w:val="28"/>
          <w:highlight w:val="white"/>
        </w:rPr>
        <w:t>,</w:t>
      </w:r>
      <w:r>
        <w:rPr>
          <w:color w:val="000000"/>
          <w:sz w:val="28"/>
          <w:highlight w:val="white"/>
        </w:rPr>
        <w:t>» д</w:t>
      </w:r>
      <w:r>
        <w:rPr>
          <w:color w:val="000000"/>
          <w:sz w:val="28"/>
          <w:highlight w:val="white"/>
        </w:rPr>
        <w:t xml:space="preserve">ополнить словами </w:t>
      </w:r>
      <w:r>
        <w:rPr>
          <w:color w:val="000000"/>
          <w:sz w:val="28"/>
          <w:highlight w:val="white"/>
        </w:rPr>
        <w:br/>
      </w:r>
      <w:r>
        <w:rPr>
          <w:color w:val="000000"/>
          <w:sz w:val="28"/>
          <w:highlight w:val="white"/>
        </w:rPr>
        <w:t>«в том числе в сезонных залах (зонах) обслуживания посетителей</w:t>
      </w:r>
      <w:r>
        <w:rPr>
          <w:color w:val="000000"/>
          <w:sz w:val="28"/>
          <w:highlight w:val="white"/>
        </w:rPr>
        <w:t>,</w:t>
      </w:r>
      <w:r>
        <w:rPr>
          <w:color w:val="000000"/>
          <w:sz w:val="28"/>
          <w:highlight w:val="white"/>
        </w:rPr>
        <w:t>»;</w:t>
      </w:r>
    </w:p>
    <w:p w14:paraId="24000000">
      <w:pPr>
        <w:ind w:firstLine="737" w:left="0"/>
        <w:jc w:val="both"/>
        <w:rPr>
          <w:color w:val="000000"/>
          <w:sz w:val="28"/>
          <w:highlight w:val="white"/>
        </w:rPr>
      </w:pPr>
      <w:r>
        <w:rPr>
          <w:color w:val="000000"/>
          <w:sz w:val="28"/>
          <w:highlight w:val="white"/>
        </w:rPr>
        <w:t>б</w:t>
      </w:r>
      <w:r>
        <w:rPr>
          <w:color w:val="000000"/>
          <w:sz w:val="28"/>
          <w:highlight w:val="white"/>
        </w:rPr>
        <w:t>) часть 4 дополнить словами «без учета площади сезонного зала (зоны) обслуживания посетителей»</w:t>
      </w:r>
      <w:r>
        <w:rPr>
          <w:color w:val="000000"/>
          <w:sz w:val="28"/>
          <w:highlight w:val="white"/>
        </w:rPr>
        <w:t>.</w:t>
      </w:r>
    </w:p>
    <w:p w14:paraId="25000000">
      <w:pPr>
        <w:ind w:firstLine="737" w:left="0"/>
        <w:jc w:val="both"/>
        <w:rPr>
          <w:color w:val="00B0F0"/>
          <w:sz w:val="28"/>
          <w:highlight w:val="white"/>
        </w:rPr>
      </w:pPr>
    </w:p>
    <w:p w14:paraId="26000000">
      <w:pPr>
        <w:ind w:firstLine="737" w:left="0"/>
        <w:jc w:val="both"/>
        <w:rPr>
          <w:color w:val="000000"/>
          <w:sz w:val="28"/>
          <w:highlight w:val="white"/>
        </w:rPr>
      </w:pPr>
    </w:p>
    <w:p w14:paraId="27000000">
      <w:pPr>
        <w:tabs>
          <w:tab w:leader="none" w:pos="1276" w:val="left"/>
        </w:tabs>
        <w:ind w:firstLine="709" w:left="0"/>
        <w:jc w:val="both"/>
        <w:rPr>
          <w:b w:val="1"/>
          <w:sz w:val="28"/>
        </w:rPr>
      </w:pPr>
      <w:r>
        <w:rPr>
          <w:b w:val="1"/>
          <w:sz w:val="28"/>
        </w:rPr>
        <w:t>Статья 2</w:t>
      </w:r>
    </w:p>
    <w:p w14:paraId="28000000">
      <w:pPr>
        <w:pStyle w:val="Style_9"/>
        <w:tabs>
          <w:tab w:leader="none" w:pos="1134" w:val="left"/>
        </w:tabs>
        <w:spacing w:after="0" w:before="0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Настоящий Областной закон вступает в силу </w:t>
      </w:r>
      <w:r>
        <w:rPr>
          <w:rFonts w:ascii="Times New Roman" w:hAnsi="Times New Roman"/>
          <w:sz w:val="28"/>
        </w:rPr>
        <w:t xml:space="preserve">со дня его официального </w:t>
      </w:r>
      <w:r>
        <w:rPr>
          <w:rFonts w:ascii="Times New Roman" w:hAnsi="Times New Roman"/>
          <w:sz w:val="28"/>
        </w:rPr>
        <w:t>опубликования</w:t>
      </w:r>
      <w:r>
        <w:rPr>
          <w:rFonts w:ascii="Times New Roman" w:hAnsi="Times New Roman"/>
          <w:sz w:val="28"/>
        </w:rPr>
        <w:t>.</w:t>
      </w:r>
    </w:p>
    <w:p w14:paraId="29000000">
      <w:pPr>
        <w:ind w:firstLine="540" w:left="0"/>
        <w:jc w:val="both"/>
        <w:rPr>
          <w:sz w:val="28"/>
        </w:rPr>
      </w:pPr>
    </w:p>
    <w:p w14:paraId="2A000000">
      <w:pPr>
        <w:ind w:firstLine="540" w:left="0"/>
        <w:jc w:val="both"/>
        <w:rPr>
          <w:sz w:val="28"/>
        </w:rPr>
      </w:pPr>
    </w:p>
    <w:p w14:paraId="2B000000">
      <w:pPr>
        <w:tabs>
          <w:tab w:leader="none" w:pos="7655" w:val="left"/>
        </w:tabs>
        <w:ind/>
        <w:rPr>
          <w:sz w:val="28"/>
        </w:rPr>
      </w:pPr>
      <w:r>
        <w:rPr>
          <w:sz w:val="28"/>
        </w:rPr>
        <w:t xml:space="preserve">       </w:t>
      </w:r>
      <w:r>
        <w:rPr>
          <w:sz w:val="28"/>
        </w:rPr>
        <w:t xml:space="preserve">Губернатор </w:t>
      </w:r>
    </w:p>
    <w:p w14:paraId="2C000000">
      <w:pPr>
        <w:tabs>
          <w:tab w:leader="none" w:pos="7655" w:val="left"/>
        </w:tabs>
        <w:ind/>
        <w:rPr>
          <w:sz w:val="28"/>
        </w:rPr>
      </w:pPr>
      <w:r>
        <w:rPr>
          <w:sz w:val="28"/>
        </w:rPr>
        <w:t>Ростовской области                                                                                   В.Ю. Голубев</w:t>
      </w:r>
    </w:p>
    <w:p w14:paraId="2D000000">
      <w:pPr>
        <w:tabs>
          <w:tab w:leader="none" w:pos="7655" w:val="left"/>
        </w:tabs>
        <w:ind/>
        <w:rPr>
          <w:sz w:val="28"/>
        </w:rPr>
      </w:pPr>
    </w:p>
    <w:p w14:paraId="2E000000">
      <w:pPr>
        <w:tabs>
          <w:tab w:leader="none" w:pos="7655" w:val="left"/>
        </w:tabs>
        <w:ind/>
        <w:rPr>
          <w:sz w:val="28"/>
        </w:rPr>
      </w:pPr>
    </w:p>
    <w:p w14:paraId="2F000000">
      <w:pPr>
        <w:tabs>
          <w:tab w:leader="none" w:pos="7655" w:val="left"/>
        </w:tabs>
        <w:ind/>
        <w:rPr>
          <w:sz w:val="28"/>
        </w:rPr>
      </w:pPr>
    </w:p>
    <w:p w14:paraId="30000000">
      <w:pPr>
        <w:tabs>
          <w:tab w:leader="none" w:pos="7655" w:val="left"/>
        </w:tabs>
        <w:ind/>
        <w:rPr>
          <w:sz w:val="28"/>
        </w:rPr>
      </w:pPr>
    </w:p>
    <w:p w14:paraId="31000000">
      <w:pPr>
        <w:tabs>
          <w:tab w:leader="none" w:pos="7655" w:val="left"/>
        </w:tabs>
        <w:ind/>
        <w:rPr>
          <w:sz w:val="28"/>
        </w:rPr>
      </w:pPr>
    </w:p>
    <w:p w14:paraId="32000000">
      <w:pPr>
        <w:tabs>
          <w:tab w:leader="none" w:pos="7655" w:val="left"/>
        </w:tabs>
        <w:ind/>
        <w:rPr>
          <w:sz w:val="28"/>
        </w:rPr>
      </w:pPr>
    </w:p>
    <w:p w14:paraId="33000000">
      <w:pPr>
        <w:tabs>
          <w:tab w:leader="none" w:pos="7655" w:val="left"/>
        </w:tabs>
        <w:ind/>
        <w:rPr>
          <w:sz w:val="28"/>
        </w:rPr>
      </w:pPr>
    </w:p>
    <w:p w14:paraId="34000000">
      <w:pPr>
        <w:tabs>
          <w:tab w:leader="none" w:pos="7655" w:val="left"/>
        </w:tabs>
        <w:ind/>
        <w:rPr>
          <w:sz w:val="28"/>
        </w:rPr>
      </w:pPr>
    </w:p>
    <w:p w14:paraId="35000000">
      <w:pPr>
        <w:tabs>
          <w:tab w:leader="none" w:pos="7655" w:val="left"/>
        </w:tabs>
        <w:ind/>
        <w:rPr>
          <w:sz w:val="28"/>
        </w:rPr>
      </w:pPr>
    </w:p>
    <w:p w14:paraId="36000000">
      <w:pPr>
        <w:tabs>
          <w:tab w:leader="none" w:pos="7655" w:val="left"/>
        </w:tabs>
        <w:ind/>
        <w:rPr>
          <w:sz w:val="28"/>
        </w:rPr>
      </w:pPr>
    </w:p>
    <w:p w14:paraId="37000000">
      <w:pPr>
        <w:tabs>
          <w:tab w:leader="none" w:pos="7655" w:val="left"/>
        </w:tabs>
        <w:ind/>
        <w:rPr>
          <w:sz w:val="28"/>
        </w:rPr>
      </w:pPr>
    </w:p>
    <w:p w14:paraId="38000000">
      <w:pPr>
        <w:tabs>
          <w:tab w:leader="none" w:pos="7655" w:val="left"/>
        </w:tabs>
        <w:ind/>
        <w:rPr>
          <w:sz w:val="28"/>
        </w:rPr>
      </w:pPr>
    </w:p>
    <w:p w14:paraId="39000000">
      <w:pPr>
        <w:tabs>
          <w:tab w:leader="none" w:pos="7655" w:val="left"/>
        </w:tabs>
        <w:ind/>
        <w:rPr>
          <w:sz w:val="28"/>
        </w:rPr>
      </w:pPr>
    </w:p>
    <w:p w14:paraId="3A000000">
      <w:pPr>
        <w:tabs>
          <w:tab w:leader="none" w:pos="7655" w:val="left"/>
        </w:tabs>
        <w:ind/>
        <w:rPr>
          <w:sz w:val="28"/>
        </w:rPr>
      </w:pPr>
    </w:p>
    <w:p w14:paraId="3B000000">
      <w:pPr>
        <w:tabs>
          <w:tab w:leader="none" w:pos="7655" w:val="left"/>
        </w:tabs>
        <w:ind/>
        <w:rPr>
          <w:sz w:val="28"/>
        </w:rPr>
      </w:pPr>
    </w:p>
    <w:p w14:paraId="3C000000">
      <w:pPr>
        <w:tabs>
          <w:tab w:leader="none" w:pos="7655" w:val="left"/>
        </w:tabs>
        <w:ind/>
        <w:rPr>
          <w:sz w:val="28"/>
        </w:rPr>
      </w:pPr>
    </w:p>
    <w:p w14:paraId="3D000000">
      <w:pPr>
        <w:tabs>
          <w:tab w:leader="none" w:pos="7655" w:val="left"/>
        </w:tabs>
        <w:ind/>
        <w:rPr>
          <w:sz w:val="28"/>
        </w:rPr>
      </w:pPr>
    </w:p>
    <w:p w14:paraId="3E000000">
      <w:pPr>
        <w:tabs>
          <w:tab w:leader="none" w:pos="7655" w:val="left"/>
        </w:tabs>
        <w:ind/>
        <w:rPr>
          <w:sz w:val="28"/>
        </w:rPr>
      </w:pPr>
    </w:p>
    <w:p w14:paraId="3F000000">
      <w:pPr>
        <w:tabs>
          <w:tab w:leader="none" w:pos="7655" w:val="left"/>
        </w:tabs>
        <w:ind/>
        <w:rPr>
          <w:sz w:val="28"/>
        </w:rPr>
      </w:pPr>
    </w:p>
    <w:p w14:paraId="40000000">
      <w:pPr>
        <w:tabs>
          <w:tab w:leader="none" w:pos="7655" w:val="left"/>
        </w:tabs>
        <w:ind/>
        <w:rPr>
          <w:sz w:val="28"/>
        </w:rPr>
      </w:pPr>
    </w:p>
    <w:p w14:paraId="41000000">
      <w:pPr>
        <w:tabs>
          <w:tab w:leader="none" w:pos="7655" w:val="left"/>
        </w:tabs>
        <w:ind/>
        <w:rPr>
          <w:sz w:val="28"/>
        </w:rPr>
      </w:pPr>
    </w:p>
    <w:p w14:paraId="42000000">
      <w:pPr>
        <w:tabs>
          <w:tab w:leader="none" w:pos="7655" w:val="left"/>
        </w:tabs>
        <w:ind/>
        <w:rPr>
          <w:sz w:val="28"/>
        </w:rPr>
      </w:pPr>
    </w:p>
    <w:p w14:paraId="43000000">
      <w:pPr>
        <w:tabs>
          <w:tab w:leader="none" w:pos="7655" w:val="left"/>
        </w:tabs>
        <w:ind/>
        <w:rPr>
          <w:sz w:val="28"/>
        </w:rPr>
      </w:pPr>
    </w:p>
    <w:p w14:paraId="44000000">
      <w:pPr>
        <w:tabs>
          <w:tab w:leader="none" w:pos="7655" w:val="left"/>
        </w:tabs>
        <w:ind/>
        <w:rPr>
          <w:sz w:val="28"/>
        </w:rPr>
      </w:pPr>
    </w:p>
    <w:p w14:paraId="45000000">
      <w:pPr>
        <w:tabs>
          <w:tab w:leader="none" w:pos="7655" w:val="left"/>
        </w:tabs>
        <w:ind/>
        <w:rPr>
          <w:sz w:val="28"/>
        </w:rPr>
      </w:pPr>
    </w:p>
    <w:p w14:paraId="46000000">
      <w:pPr>
        <w:tabs>
          <w:tab w:leader="none" w:pos="7655" w:val="left"/>
        </w:tabs>
        <w:ind/>
        <w:rPr>
          <w:sz w:val="28"/>
        </w:rPr>
      </w:pPr>
    </w:p>
    <w:p w14:paraId="47000000">
      <w:pPr>
        <w:tabs>
          <w:tab w:leader="none" w:pos="7655" w:val="left"/>
        </w:tabs>
        <w:ind/>
        <w:rPr>
          <w:sz w:val="28"/>
        </w:rPr>
      </w:pPr>
    </w:p>
    <w:p w14:paraId="48000000">
      <w:pPr>
        <w:tabs>
          <w:tab w:leader="none" w:pos="7655" w:val="left"/>
        </w:tabs>
        <w:ind/>
        <w:rPr>
          <w:sz w:val="28"/>
        </w:rPr>
      </w:pPr>
    </w:p>
    <w:p w14:paraId="49000000">
      <w:pPr>
        <w:tabs>
          <w:tab w:leader="none" w:pos="7655" w:val="left"/>
        </w:tabs>
        <w:ind/>
        <w:rPr>
          <w:sz w:val="28"/>
        </w:rPr>
      </w:pPr>
    </w:p>
    <w:p w14:paraId="4A000000">
      <w:pPr>
        <w:tabs>
          <w:tab w:leader="none" w:pos="7655" w:val="left"/>
        </w:tabs>
        <w:ind/>
        <w:rPr>
          <w:sz w:val="28"/>
        </w:rPr>
      </w:pPr>
    </w:p>
    <w:p w14:paraId="4B000000">
      <w:pPr>
        <w:tabs>
          <w:tab w:leader="none" w:pos="7655" w:val="left"/>
        </w:tabs>
        <w:ind/>
        <w:rPr>
          <w:sz w:val="28"/>
        </w:rPr>
      </w:pPr>
    </w:p>
    <w:p w14:paraId="4C000000">
      <w:pPr>
        <w:tabs>
          <w:tab w:leader="none" w:pos="7655" w:val="left"/>
        </w:tabs>
        <w:ind/>
        <w:rPr>
          <w:sz w:val="28"/>
        </w:rPr>
      </w:pPr>
    </w:p>
    <w:p w14:paraId="4D000000">
      <w:pPr>
        <w:tabs>
          <w:tab w:leader="none" w:pos="7655" w:val="left"/>
        </w:tabs>
        <w:ind/>
        <w:jc w:val="center"/>
        <w:rPr>
          <w:sz w:val="28"/>
        </w:rPr>
      </w:pPr>
    </w:p>
    <w:tbl>
      <w:tblPr>
        <w:tblStyle w:val="Style_10"/>
        <w:tblW w:type="auto" w:w="0"/>
        <w:tblBorders>
          <w:top w:color="000000" w:val="nil"/>
          <w:left w:color="000000" w:val="nil"/>
          <w:bottom w:color="000000" w:val="nil"/>
          <w:right w:color="000000" w:val="nil"/>
          <w:insideH w:color="000000" w:val="nil"/>
          <w:insideV w:color="000000" w:val="nil"/>
        </w:tblBorders>
        <w:tblLayout w:type="fixed"/>
      </w:tblPr>
      <w:tblGrid>
        <w:gridCol w:w="3397"/>
        <w:gridCol w:w="6798"/>
      </w:tblGrid>
      <w:tr>
        <w:tc>
          <w:tcPr>
            <w:tcW w:type="dxa" w:w="3397"/>
            <w:tcBorders>
              <w:top w:color="000000" w:val="nil"/>
              <w:left w:color="000000" w:val="nil"/>
              <w:bottom w:color="000000" w:val="nil"/>
              <w:right w:color="000000" w:val="nil"/>
            </w:tcBorders>
          </w:tcPr>
          <w:p w14:paraId="4E000000">
            <w:pPr>
              <w:tabs>
                <w:tab w:leader="none" w:pos="7655" w:val="left"/>
              </w:tabs>
              <w:ind/>
              <w:jc w:val="center"/>
            </w:pPr>
            <w:r>
              <w:t>Директор департамента потребительского рынка</w:t>
            </w:r>
          </w:p>
          <w:p w14:paraId="4F000000">
            <w:pPr>
              <w:tabs>
                <w:tab w:leader="none" w:pos="7655" w:val="left"/>
              </w:tabs>
              <w:ind/>
              <w:jc w:val="center"/>
            </w:pPr>
            <w:r>
              <w:t>Ростовской области</w:t>
            </w:r>
          </w:p>
        </w:tc>
        <w:tc>
          <w:tcPr>
            <w:tcW w:type="dxa" w:w="6798"/>
            <w:tcBorders>
              <w:top w:color="000000" w:val="nil"/>
              <w:left w:color="000000" w:val="nil"/>
              <w:bottom w:color="000000" w:val="nil"/>
              <w:right w:color="000000" w:val="nil"/>
            </w:tcBorders>
          </w:tcPr>
          <w:p w14:paraId="50000000">
            <w:pPr>
              <w:tabs>
                <w:tab w:leader="none" w:pos="7655" w:val="left"/>
              </w:tabs>
              <w:ind/>
              <w:jc w:val="right"/>
            </w:pPr>
          </w:p>
          <w:p w14:paraId="51000000">
            <w:pPr>
              <w:tabs>
                <w:tab w:leader="none" w:pos="7655" w:val="left"/>
              </w:tabs>
              <w:ind/>
              <w:jc w:val="right"/>
            </w:pPr>
          </w:p>
          <w:p w14:paraId="52000000">
            <w:pPr>
              <w:tabs>
                <w:tab w:leader="none" w:pos="7655" w:val="left"/>
              </w:tabs>
              <w:ind/>
              <w:jc w:val="right"/>
            </w:pPr>
            <w:r>
              <w:t>А.П. Панкратов</w:t>
            </w:r>
          </w:p>
        </w:tc>
      </w:tr>
    </w:tbl>
    <w:p w14:paraId="53000000">
      <w:pPr>
        <w:tabs>
          <w:tab w:leader="none" w:pos="7655" w:val="left"/>
        </w:tabs>
        <w:ind/>
        <w:rPr>
          <w:sz w:val="28"/>
        </w:rPr>
      </w:pPr>
    </w:p>
    <w:sectPr>
      <w:headerReference r:id="rId3" w:type="default"/>
      <w:headerReference r:id="rId1" w:type="even"/>
      <w:footerReference r:id="rId4" w:type="default"/>
      <w:footerReference r:id="rId2" w:type="even"/>
      <w:pgSz w:h="16838" w:orient="portrait" w:w="11906"/>
      <w:pgMar w:bottom="1134" w:footer="709" w:gutter="0" w:header="709" w:left="1134" w:right="567" w:top="1134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pStyle w:val="Style_3"/>
      <w:ind/>
      <w:jc w:val="right"/>
      <w:rPr>
        <w:rStyle w:val="Style_2_ch"/>
      </w:rPr>
    </w:pPr>
  </w:p>
  <w:p w14:paraId="04000000">
    <w:pPr>
      <w:pStyle w:val="Style_3"/>
      <w:ind w:right="360"/>
    </w:pPr>
  </w:p>
</w:ftr>
</file>

<file path=word/footer4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7000000">
    <w:pPr>
      <w:pStyle w:val="Style_3"/>
      <w:ind/>
      <w:jc w:val="right"/>
      <w:rPr>
        <w:rStyle w:val="Style_2_ch"/>
      </w:rPr>
    </w:pPr>
  </w:p>
  <w:p w14:paraId="08000000">
    <w:pPr>
      <w:pStyle w:val="Style_3"/>
      <w:ind w:right="360"/>
    </w:pPr>
  </w:p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  <w:ind/>
      <w:jc w:val="center"/>
      <w:rPr>
        <w:rStyle w:val="Style_2_ch"/>
      </w:rPr>
    </w:pPr>
  </w:p>
  <w:p w14:paraId="02000000">
    <w:pPr>
      <w:pStyle w:val="Style_1"/>
    </w:pPr>
  </w:p>
</w:hdr>
</file>

<file path=word/header3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5000000">
    <w:pPr>
      <w:pStyle w:val="Style_1"/>
      <w:ind/>
      <w:jc w:val="center"/>
      <w:rPr>
        <w:rStyle w:val="Style_2_ch"/>
      </w:rPr>
    </w:pPr>
    <w:r>
      <w:rPr>
        <w:rStyle w:val="Style_2_ch"/>
      </w:rPr>
      <w:fldChar w:fldCharType="begin"/>
    </w:r>
    <w:r>
      <w:rPr>
        <w:rStyle w:val="Style_2_ch"/>
      </w:rPr>
      <w:instrText xml:space="preserve">PAGE </w:instrText>
    </w:r>
    <w:r>
      <w:rPr>
        <w:rStyle w:val="Style_2_ch"/>
      </w:rPr>
      <w:fldChar w:fldCharType="separate"/>
    </w:r>
    <w:r>
      <w:rPr>
        <w:rStyle w:val="Style_2_ch"/>
      </w:rPr>
      <w:t xml:space="preserve"> </w:t>
    </w:r>
    <w:r>
      <w:rPr>
        <w:rStyle w:val="Style_2_ch"/>
      </w:rPr>
      <w:fldChar w:fldCharType="end"/>
    </w:r>
  </w:p>
  <w:p w14:paraId="06000000">
    <w:pPr>
      <w:pStyle w:val="Style_1"/>
      <w:ind/>
      <w:jc w:val="center"/>
    </w:pPr>
  </w:p>
</w:hd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)"/>
      <w:lvlJc w:val="left"/>
      <w:pPr>
        <w:ind w:hanging="360" w:left="1069"/>
      </w:pPr>
    </w:lvl>
    <w:lvl w:ilvl="1">
      <w:start w:val="1"/>
      <w:numFmt w:val="lowerLetter"/>
      <w:lvlText w:val="%2."/>
      <w:lvlJc w:val="left"/>
      <w:pPr>
        <w:ind w:hanging="360" w:left="1789"/>
      </w:pPr>
    </w:lvl>
    <w:lvl w:ilvl="2">
      <w:start w:val="1"/>
      <w:numFmt w:val="lowerRoman"/>
      <w:lvlText w:val="%3."/>
      <w:lvlJc w:val="right"/>
      <w:pPr>
        <w:ind w:hanging="180" w:left="2509"/>
      </w:pPr>
    </w:lvl>
    <w:lvl w:ilvl="3">
      <w:start w:val="1"/>
      <w:numFmt w:val="decimal"/>
      <w:lvlText w:val="%4."/>
      <w:lvlJc w:val="left"/>
      <w:pPr>
        <w:ind w:hanging="360" w:left="3229"/>
      </w:pPr>
    </w:lvl>
    <w:lvl w:ilvl="4">
      <w:start w:val="1"/>
      <w:numFmt w:val="lowerLetter"/>
      <w:lvlText w:val="%5."/>
      <w:lvlJc w:val="left"/>
      <w:pPr>
        <w:ind w:hanging="360" w:left="3949"/>
      </w:pPr>
    </w:lvl>
    <w:lvl w:ilvl="5">
      <w:start w:val="1"/>
      <w:numFmt w:val="lowerRoman"/>
      <w:lvlText w:val="%6."/>
      <w:lvlJc w:val="right"/>
      <w:pPr>
        <w:ind w:hanging="180" w:left="4669"/>
      </w:pPr>
    </w:lvl>
    <w:lvl w:ilvl="6">
      <w:start w:val="1"/>
      <w:numFmt w:val="decimal"/>
      <w:lvlText w:val="%7."/>
      <w:lvlJc w:val="left"/>
      <w:pPr>
        <w:ind w:hanging="360" w:left="5389"/>
      </w:pPr>
    </w:lvl>
    <w:lvl w:ilvl="7">
      <w:start w:val="1"/>
      <w:numFmt w:val="lowerLetter"/>
      <w:lvlText w:val="%8."/>
      <w:lvlJc w:val="left"/>
      <w:pPr>
        <w:ind w:hanging="360" w:left="6109"/>
      </w:pPr>
    </w:lvl>
    <w:lvl w:ilvl="8">
      <w:start w:val="1"/>
      <w:numFmt w:val="lowerRoman"/>
      <w:lvlText w:val="%9."/>
      <w:lvlJc w:val="right"/>
      <w:pPr>
        <w:ind w:hanging="180" w:left="6829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9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1" w:type="paragraph">
    <w:name w:val="Normal"/>
    <w:link w:val="Style_11_ch"/>
    <w:uiPriority w:val="0"/>
    <w:qFormat/>
    <w:rPr>
      <w:sz w:val="24"/>
    </w:rPr>
  </w:style>
  <w:style w:default="1" w:styleId="Style_11_ch" w:type="character">
    <w:name w:val="Normal"/>
    <w:link w:val="Style_11"/>
    <w:rPr>
      <w:sz w:val="24"/>
    </w:rPr>
  </w:style>
  <w:style w:styleId="Style_12" w:type="paragraph">
    <w:name w:val="toc 2"/>
    <w:next w:val="Style_11"/>
    <w:link w:val="Style_12_ch"/>
    <w:uiPriority w:val="39"/>
    <w:pPr>
      <w:ind w:firstLine="0" w:left="200"/>
    </w:pPr>
    <w:rPr>
      <w:rFonts w:ascii="XO Thames" w:hAnsi="XO Thames"/>
      <w:sz w:val="28"/>
    </w:rPr>
  </w:style>
  <w:style w:styleId="Style_12_ch" w:type="character">
    <w:name w:val="toc 2"/>
    <w:link w:val="Style_12"/>
    <w:rPr>
      <w:rFonts w:ascii="XO Thames" w:hAnsi="XO Thames"/>
      <w:sz w:val="28"/>
    </w:rPr>
  </w:style>
  <w:style w:styleId="Style_13" w:type="paragraph">
    <w:name w:val="toc 4"/>
    <w:next w:val="Style_11"/>
    <w:link w:val="Style_13_ch"/>
    <w:uiPriority w:val="39"/>
    <w:pPr>
      <w:ind w:firstLine="0" w:left="600"/>
    </w:pPr>
    <w:rPr>
      <w:rFonts w:ascii="XO Thames" w:hAnsi="XO Thames"/>
      <w:sz w:val="28"/>
    </w:rPr>
  </w:style>
  <w:style w:styleId="Style_13_ch" w:type="character">
    <w:name w:val="toc 4"/>
    <w:link w:val="Style_13"/>
    <w:rPr>
      <w:rFonts w:ascii="XO Thames" w:hAnsi="XO Thames"/>
      <w:sz w:val="28"/>
    </w:rPr>
  </w:style>
  <w:style w:styleId="Style_14" w:type="paragraph">
    <w:name w:val="toc 6"/>
    <w:next w:val="Style_11"/>
    <w:link w:val="Style_14_ch"/>
    <w:uiPriority w:val="39"/>
    <w:pPr>
      <w:ind w:firstLine="0" w:left="1000"/>
    </w:pPr>
    <w:rPr>
      <w:rFonts w:ascii="XO Thames" w:hAnsi="XO Thames"/>
      <w:sz w:val="28"/>
    </w:rPr>
  </w:style>
  <w:style w:styleId="Style_14_ch" w:type="character">
    <w:name w:val="toc 6"/>
    <w:link w:val="Style_14"/>
    <w:rPr>
      <w:rFonts w:ascii="XO Thames" w:hAnsi="XO Thames"/>
      <w:sz w:val="28"/>
    </w:rPr>
  </w:style>
  <w:style w:styleId="Style_9" w:type="paragraph">
    <w:name w:val="consplusnormal"/>
    <w:basedOn w:val="Style_11"/>
    <w:link w:val="Style_9_ch"/>
    <w:pPr>
      <w:spacing w:after="75" w:before="75"/>
      <w:ind/>
    </w:pPr>
    <w:rPr>
      <w:rFonts w:ascii="Arial" w:hAnsi="Arial"/>
      <w:sz w:val="20"/>
    </w:rPr>
  </w:style>
  <w:style w:styleId="Style_9_ch" w:type="character">
    <w:name w:val="consplusnormal"/>
    <w:basedOn w:val="Style_11_ch"/>
    <w:link w:val="Style_9"/>
    <w:rPr>
      <w:rFonts w:ascii="Arial" w:hAnsi="Arial"/>
      <w:sz w:val="20"/>
    </w:rPr>
  </w:style>
  <w:style w:styleId="Style_15" w:type="paragraph">
    <w:name w:val="toc 7"/>
    <w:next w:val="Style_11"/>
    <w:link w:val="Style_15_ch"/>
    <w:uiPriority w:val="39"/>
    <w:pPr>
      <w:ind w:firstLine="0" w:left="1200"/>
    </w:pPr>
    <w:rPr>
      <w:rFonts w:ascii="XO Thames" w:hAnsi="XO Thames"/>
      <w:sz w:val="28"/>
    </w:rPr>
  </w:style>
  <w:style w:styleId="Style_15_ch" w:type="character">
    <w:name w:val="toc 7"/>
    <w:link w:val="Style_15"/>
    <w:rPr>
      <w:rFonts w:ascii="XO Thames" w:hAnsi="XO Thames"/>
      <w:sz w:val="28"/>
    </w:rPr>
  </w:style>
  <w:style w:styleId="Style_16" w:type="paragraph">
    <w:name w:val="Основной шрифт абзаца1"/>
    <w:link w:val="Style_16_ch"/>
  </w:style>
  <w:style w:styleId="Style_16_ch" w:type="character">
    <w:name w:val="Основной шрифт абзаца1"/>
    <w:link w:val="Style_16"/>
  </w:style>
  <w:style w:styleId="Style_17" w:type="paragraph">
    <w:name w:val="Default Paragraph Font"/>
    <w:link w:val="Style_17_ch"/>
  </w:style>
  <w:style w:styleId="Style_17_ch" w:type="character">
    <w:name w:val="Default Paragraph Font"/>
    <w:link w:val="Style_17"/>
  </w:style>
  <w:style w:styleId="Style_18" w:type="paragraph">
    <w:name w:val="Balloon Text"/>
    <w:basedOn w:val="Style_11"/>
    <w:link w:val="Style_18_ch"/>
    <w:rPr>
      <w:rFonts w:ascii="Tahoma" w:hAnsi="Tahoma"/>
      <w:sz w:val="16"/>
    </w:rPr>
  </w:style>
  <w:style w:styleId="Style_18_ch" w:type="character">
    <w:name w:val="Balloon Text"/>
    <w:basedOn w:val="Style_11_ch"/>
    <w:link w:val="Style_18"/>
    <w:rPr>
      <w:rFonts w:ascii="Tahoma" w:hAnsi="Tahoma"/>
      <w:sz w:val="16"/>
    </w:rPr>
  </w:style>
  <w:style w:styleId="Style_19" w:type="paragraph">
    <w:name w:val="Endnote"/>
    <w:link w:val="Style_19_ch"/>
    <w:pPr>
      <w:ind w:firstLine="851" w:left="0"/>
      <w:jc w:val="both"/>
    </w:pPr>
    <w:rPr>
      <w:rFonts w:ascii="XO Thames" w:hAnsi="XO Thames"/>
      <w:sz w:val="22"/>
    </w:rPr>
  </w:style>
  <w:style w:styleId="Style_19_ch" w:type="character">
    <w:name w:val="Endnote"/>
    <w:link w:val="Style_19"/>
    <w:rPr>
      <w:rFonts w:ascii="XO Thames" w:hAnsi="XO Thames"/>
      <w:sz w:val="22"/>
    </w:rPr>
  </w:style>
  <w:style w:styleId="Style_6" w:type="paragraph">
    <w:name w:val="heading 3"/>
    <w:basedOn w:val="Style_11"/>
    <w:next w:val="Style_11"/>
    <w:link w:val="Style_6_ch"/>
    <w:uiPriority w:val="9"/>
    <w:qFormat/>
    <w:pPr>
      <w:keepNext w:val="1"/>
      <w:ind/>
      <w:jc w:val="center"/>
      <w:outlineLvl w:val="2"/>
    </w:pPr>
    <w:rPr>
      <w:b w:val="1"/>
      <w:sz w:val="28"/>
    </w:rPr>
  </w:style>
  <w:style w:styleId="Style_6_ch" w:type="character">
    <w:name w:val="heading 3"/>
    <w:basedOn w:val="Style_11_ch"/>
    <w:link w:val="Style_6"/>
    <w:rPr>
      <w:b w:val="1"/>
      <w:sz w:val="28"/>
    </w:rPr>
  </w:style>
  <w:style w:styleId="Style_20" w:type="paragraph">
    <w:name w:val="ConsPlusCell"/>
    <w:link w:val="Style_20_ch"/>
    <w:pPr>
      <w:widowControl w:val="0"/>
      <w:ind/>
    </w:pPr>
    <w:rPr>
      <w:rFonts w:ascii="Arial" w:hAnsi="Arial"/>
    </w:rPr>
  </w:style>
  <w:style w:styleId="Style_20_ch" w:type="character">
    <w:name w:val="ConsPlusCell"/>
    <w:link w:val="Style_20"/>
    <w:rPr>
      <w:rFonts w:ascii="Arial" w:hAnsi="Arial"/>
    </w:rPr>
  </w:style>
  <w:style w:styleId="Style_21" w:type="paragraph">
    <w:name w:val="Body Text 2"/>
    <w:basedOn w:val="Style_11"/>
    <w:link w:val="Style_21_ch"/>
    <w:pPr>
      <w:spacing w:after="120" w:line="480" w:lineRule="auto"/>
      <w:ind/>
    </w:pPr>
  </w:style>
  <w:style w:styleId="Style_21_ch" w:type="character">
    <w:name w:val="Body Text 2"/>
    <w:basedOn w:val="Style_11_ch"/>
    <w:link w:val="Style_21"/>
  </w:style>
  <w:style w:styleId="Style_22" w:type="paragraph">
    <w:name w:val="Основной шрифт абзаца1"/>
    <w:link w:val="Style_22_ch"/>
  </w:style>
  <w:style w:styleId="Style_22_ch" w:type="character">
    <w:name w:val="Основной шрифт абзаца1"/>
    <w:link w:val="Style_22"/>
  </w:style>
  <w:style w:styleId="Style_23" w:type="paragraph">
    <w:name w:val="ConsPlusTitle"/>
    <w:link w:val="Style_23_ch"/>
    <w:pPr>
      <w:widowControl w:val="0"/>
      <w:ind/>
    </w:pPr>
    <w:rPr>
      <w:rFonts w:ascii="Arial" w:hAnsi="Arial"/>
      <w:b w:val="1"/>
      <w:sz w:val="16"/>
    </w:rPr>
  </w:style>
  <w:style w:styleId="Style_23_ch" w:type="character">
    <w:name w:val="ConsPlusTitle"/>
    <w:link w:val="Style_23"/>
    <w:rPr>
      <w:rFonts w:ascii="Arial" w:hAnsi="Arial"/>
      <w:b w:val="1"/>
      <w:sz w:val="16"/>
    </w:rPr>
  </w:style>
  <w:style w:styleId="Style_2" w:type="paragraph">
    <w:name w:val="Номер страницы1"/>
    <w:basedOn w:val="Style_16"/>
    <w:link w:val="Style_2_ch"/>
  </w:style>
  <w:style w:styleId="Style_2_ch" w:type="character">
    <w:name w:val="Номер страницы1"/>
    <w:basedOn w:val="Style_16_ch"/>
    <w:link w:val="Style_2"/>
  </w:style>
  <w:style w:styleId="Style_3" w:type="paragraph">
    <w:name w:val="footer"/>
    <w:basedOn w:val="Style_11"/>
    <w:link w:val="Style_3_ch"/>
    <w:pPr>
      <w:tabs>
        <w:tab w:leader="none" w:pos="4677" w:val="center"/>
        <w:tab w:leader="none" w:pos="9355" w:val="right"/>
      </w:tabs>
      <w:ind/>
    </w:pPr>
  </w:style>
  <w:style w:styleId="Style_3_ch" w:type="character">
    <w:name w:val="footer"/>
    <w:basedOn w:val="Style_11_ch"/>
    <w:link w:val="Style_3"/>
  </w:style>
  <w:style w:styleId="Style_24" w:type="paragraph">
    <w:name w:val="toc 3"/>
    <w:next w:val="Style_11"/>
    <w:link w:val="Style_24_ch"/>
    <w:uiPriority w:val="39"/>
    <w:pPr>
      <w:ind w:firstLine="0" w:left="400"/>
    </w:pPr>
    <w:rPr>
      <w:rFonts w:ascii="XO Thames" w:hAnsi="XO Thames"/>
      <w:sz w:val="28"/>
    </w:rPr>
  </w:style>
  <w:style w:styleId="Style_24_ch" w:type="character">
    <w:name w:val="toc 3"/>
    <w:link w:val="Style_24"/>
    <w:rPr>
      <w:rFonts w:ascii="XO Thames" w:hAnsi="XO Thames"/>
      <w:sz w:val="28"/>
    </w:rPr>
  </w:style>
  <w:style w:styleId="Style_25" w:type="paragraph">
    <w:name w:val="Гиперссылка2"/>
    <w:link w:val="Style_25_ch"/>
    <w:rPr>
      <w:color w:val="0000FF"/>
      <w:u w:val="single"/>
    </w:rPr>
  </w:style>
  <w:style w:styleId="Style_25_ch" w:type="character">
    <w:name w:val="Гиперссылка2"/>
    <w:link w:val="Style_25"/>
    <w:rPr>
      <w:color w:val="0000FF"/>
      <w:u w:val="single"/>
    </w:rPr>
  </w:style>
  <w:style w:styleId="Style_26" w:type="paragraph">
    <w:name w:val="ConsPlusNormal"/>
    <w:link w:val="Style_26_ch"/>
    <w:pPr>
      <w:widowControl w:val="0"/>
      <w:ind w:firstLine="720" w:left="0"/>
    </w:pPr>
    <w:rPr>
      <w:rFonts w:ascii="Arial" w:hAnsi="Arial"/>
    </w:rPr>
  </w:style>
  <w:style w:styleId="Style_26_ch" w:type="character">
    <w:name w:val="ConsPlusNormal"/>
    <w:link w:val="Style_26"/>
    <w:rPr>
      <w:rFonts w:ascii="Arial" w:hAnsi="Arial"/>
    </w:rPr>
  </w:style>
  <w:style w:styleId="Style_27" w:type="paragraph">
    <w:name w:val="heading 5"/>
    <w:next w:val="Style_11"/>
    <w:link w:val="Style_27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7_ch" w:type="character">
    <w:name w:val="heading 5"/>
    <w:link w:val="Style_27"/>
    <w:rPr>
      <w:rFonts w:ascii="XO Thames" w:hAnsi="XO Thames"/>
      <w:b w:val="1"/>
      <w:sz w:val="22"/>
    </w:rPr>
  </w:style>
  <w:style w:styleId="Style_1" w:type="paragraph">
    <w:name w:val="header"/>
    <w:basedOn w:val="Style_11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header"/>
    <w:basedOn w:val="Style_11_ch"/>
    <w:link w:val="Style_1"/>
  </w:style>
  <w:style w:styleId="Style_28" w:type="paragraph">
    <w:name w:val="ConsPlusNonformat"/>
    <w:link w:val="Style_28_ch"/>
    <w:pPr>
      <w:widowControl w:val="0"/>
      <w:ind/>
    </w:pPr>
    <w:rPr>
      <w:rFonts w:ascii="Courier New" w:hAnsi="Courier New"/>
      <w:sz w:val="24"/>
    </w:rPr>
  </w:style>
  <w:style w:styleId="Style_28_ch" w:type="character">
    <w:name w:val="ConsPlusNonformat"/>
    <w:link w:val="Style_28"/>
    <w:rPr>
      <w:rFonts w:ascii="Courier New" w:hAnsi="Courier New"/>
      <w:sz w:val="24"/>
    </w:rPr>
  </w:style>
  <w:style w:styleId="Style_29" w:type="paragraph">
    <w:name w:val="Основной шрифт абзаца1"/>
    <w:link w:val="Style_29_ch"/>
  </w:style>
  <w:style w:styleId="Style_29_ch" w:type="character">
    <w:name w:val="Основной шрифт абзаца1"/>
    <w:link w:val="Style_29"/>
  </w:style>
  <w:style w:styleId="Style_30" w:type="paragraph">
    <w:name w:val="Гипертекстовая ссылка"/>
    <w:link w:val="Style_30_ch"/>
    <w:rPr>
      <w:color w:val="008000"/>
    </w:rPr>
  </w:style>
  <w:style w:styleId="Style_30_ch" w:type="character">
    <w:name w:val="Гипертекстовая ссылка"/>
    <w:link w:val="Style_30"/>
    <w:rPr>
      <w:color w:val="008000"/>
    </w:rPr>
  </w:style>
  <w:style w:styleId="Style_31" w:type="paragraph">
    <w:name w:val="heading 1"/>
    <w:next w:val="Style_11"/>
    <w:link w:val="Style_31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31_ch" w:type="character">
    <w:name w:val="heading 1"/>
    <w:link w:val="Style_31"/>
    <w:rPr>
      <w:rFonts w:ascii="XO Thames" w:hAnsi="XO Thames"/>
      <w:b w:val="1"/>
      <w:sz w:val="32"/>
    </w:rPr>
  </w:style>
  <w:style w:styleId="Style_32" w:type="paragraph">
    <w:name w:val="Hyperlink"/>
    <w:link w:val="Style_32_ch"/>
    <w:rPr>
      <w:color w:val="0000FF"/>
      <w:u w:val="single"/>
    </w:rPr>
  </w:style>
  <w:style w:styleId="Style_32_ch" w:type="character">
    <w:name w:val="Hyperlink"/>
    <w:link w:val="Style_32"/>
    <w:rPr>
      <w:color w:val="0000FF"/>
      <w:u w:val="single"/>
    </w:rPr>
  </w:style>
  <w:style w:styleId="Style_33" w:type="paragraph">
    <w:name w:val="Footnote"/>
    <w:link w:val="Style_33_ch"/>
    <w:pPr>
      <w:ind w:firstLine="851" w:left="0"/>
      <w:jc w:val="both"/>
    </w:pPr>
    <w:rPr>
      <w:rFonts w:ascii="XO Thames" w:hAnsi="XO Thames"/>
      <w:sz w:val="22"/>
    </w:rPr>
  </w:style>
  <w:style w:styleId="Style_33_ch" w:type="character">
    <w:name w:val="Footnote"/>
    <w:link w:val="Style_33"/>
    <w:rPr>
      <w:rFonts w:ascii="XO Thames" w:hAnsi="XO Thames"/>
      <w:sz w:val="22"/>
    </w:rPr>
  </w:style>
  <w:style w:styleId="Style_34" w:type="paragraph">
    <w:name w:val="toc 1"/>
    <w:next w:val="Style_11"/>
    <w:link w:val="Style_34_ch"/>
    <w:uiPriority w:val="39"/>
    <w:rPr>
      <w:rFonts w:ascii="XO Thames" w:hAnsi="XO Thames"/>
      <w:b w:val="1"/>
      <w:sz w:val="28"/>
    </w:rPr>
  </w:style>
  <w:style w:styleId="Style_34_ch" w:type="character">
    <w:name w:val="toc 1"/>
    <w:link w:val="Style_34"/>
    <w:rPr>
      <w:rFonts w:ascii="XO Thames" w:hAnsi="XO Thames"/>
      <w:b w:val="1"/>
      <w:sz w:val="28"/>
    </w:rPr>
  </w:style>
  <w:style w:styleId="Style_8" w:type="paragraph">
    <w:name w:val="List Paragraph"/>
    <w:basedOn w:val="Style_11"/>
    <w:link w:val="Style_8_ch"/>
    <w:pPr>
      <w:ind w:firstLine="0" w:left="708"/>
    </w:pPr>
  </w:style>
  <w:style w:styleId="Style_8_ch" w:type="character">
    <w:name w:val="List Paragraph"/>
    <w:basedOn w:val="Style_11_ch"/>
    <w:link w:val="Style_8"/>
  </w:style>
  <w:style w:styleId="Style_35" w:type="paragraph">
    <w:name w:val="Header and Footer"/>
    <w:link w:val="Style_35_ch"/>
    <w:pPr>
      <w:ind/>
      <w:jc w:val="both"/>
    </w:pPr>
    <w:rPr>
      <w:rFonts w:ascii="XO Thames" w:hAnsi="XO Thames"/>
      <w:sz w:val="28"/>
    </w:rPr>
  </w:style>
  <w:style w:styleId="Style_35_ch" w:type="character">
    <w:name w:val="Header and Footer"/>
    <w:link w:val="Style_35"/>
    <w:rPr>
      <w:rFonts w:ascii="XO Thames" w:hAnsi="XO Thames"/>
      <w:sz w:val="28"/>
    </w:rPr>
  </w:style>
  <w:style w:styleId="Style_36" w:type="paragraph">
    <w:name w:val="toc 9"/>
    <w:next w:val="Style_11"/>
    <w:link w:val="Style_36_ch"/>
    <w:uiPriority w:val="39"/>
    <w:pPr>
      <w:ind w:firstLine="0" w:left="1600"/>
    </w:pPr>
    <w:rPr>
      <w:rFonts w:ascii="XO Thames" w:hAnsi="XO Thames"/>
      <w:sz w:val="28"/>
    </w:rPr>
  </w:style>
  <w:style w:styleId="Style_36_ch" w:type="character">
    <w:name w:val="toc 9"/>
    <w:link w:val="Style_36"/>
    <w:rPr>
      <w:rFonts w:ascii="XO Thames" w:hAnsi="XO Thames"/>
      <w:sz w:val="28"/>
    </w:rPr>
  </w:style>
  <w:style w:styleId="Style_37" w:type="paragraph">
    <w:name w:val="toc 8"/>
    <w:next w:val="Style_11"/>
    <w:link w:val="Style_37_ch"/>
    <w:uiPriority w:val="39"/>
    <w:pPr>
      <w:ind w:firstLine="0" w:left="1400"/>
    </w:pPr>
    <w:rPr>
      <w:rFonts w:ascii="XO Thames" w:hAnsi="XO Thames"/>
      <w:sz w:val="28"/>
    </w:rPr>
  </w:style>
  <w:style w:styleId="Style_37_ch" w:type="character">
    <w:name w:val="toc 8"/>
    <w:link w:val="Style_37"/>
    <w:rPr>
      <w:rFonts w:ascii="XO Thames" w:hAnsi="XO Thames"/>
      <w:sz w:val="28"/>
    </w:rPr>
  </w:style>
  <w:style w:styleId="Style_38" w:type="paragraph">
    <w:name w:val="Body Text Indent"/>
    <w:basedOn w:val="Style_11"/>
    <w:link w:val="Style_38_ch"/>
    <w:pPr>
      <w:spacing w:after="120"/>
      <w:ind w:firstLine="0" w:left="283"/>
    </w:pPr>
  </w:style>
  <w:style w:styleId="Style_38_ch" w:type="character">
    <w:name w:val="Body Text Indent"/>
    <w:basedOn w:val="Style_11_ch"/>
    <w:link w:val="Style_38"/>
  </w:style>
  <w:style w:styleId="Style_39" w:type="paragraph">
    <w:name w:val="Обычный1"/>
    <w:link w:val="Style_39_ch"/>
    <w:rPr>
      <w:sz w:val="24"/>
    </w:rPr>
  </w:style>
  <w:style w:styleId="Style_39_ch" w:type="character">
    <w:name w:val="Обычный1"/>
    <w:link w:val="Style_39"/>
    <w:rPr>
      <w:sz w:val="24"/>
    </w:rPr>
  </w:style>
  <w:style w:styleId="Style_40" w:type="paragraph">
    <w:name w:val="Обычный1"/>
    <w:link w:val="Style_40_ch"/>
    <w:rPr>
      <w:sz w:val="24"/>
    </w:rPr>
  </w:style>
  <w:style w:styleId="Style_40_ch" w:type="character">
    <w:name w:val="Обычный1"/>
    <w:link w:val="Style_40"/>
    <w:rPr>
      <w:sz w:val="24"/>
    </w:rPr>
  </w:style>
  <w:style w:styleId="Style_41" w:type="paragraph">
    <w:name w:val="Гиперссылка1"/>
    <w:link w:val="Style_41_ch"/>
    <w:rPr>
      <w:color w:val="0000FF"/>
      <w:u w:val="single"/>
    </w:rPr>
  </w:style>
  <w:style w:styleId="Style_41_ch" w:type="character">
    <w:name w:val="Гиперссылка1"/>
    <w:link w:val="Style_41"/>
    <w:rPr>
      <w:color w:val="0000FF"/>
      <w:u w:val="single"/>
    </w:rPr>
  </w:style>
  <w:style w:styleId="Style_42" w:type="paragraph">
    <w:name w:val="toc 5"/>
    <w:next w:val="Style_11"/>
    <w:link w:val="Style_42_ch"/>
    <w:uiPriority w:val="39"/>
    <w:pPr>
      <w:ind w:firstLine="0" w:left="800"/>
    </w:pPr>
    <w:rPr>
      <w:rFonts w:ascii="XO Thames" w:hAnsi="XO Thames"/>
      <w:sz w:val="28"/>
    </w:rPr>
  </w:style>
  <w:style w:styleId="Style_42_ch" w:type="character">
    <w:name w:val="toc 5"/>
    <w:link w:val="Style_42"/>
    <w:rPr>
      <w:rFonts w:ascii="XO Thames" w:hAnsi="XO Thames"/>
      <w:sz w:val="28"/>
    </w:rPr>
  </w:style>
  <w:style w:styleId="Style_7" w:type="paragraph">
    <w:name w:val="Body Text"/>
    <w:basedOn w:val="Style_11"/>
    <w:link w:val="Style_7_ch"/>
    <w:pPr>
      <w:ind/>
      <w:jc w:val="center"/>
    </w:pPr>
    <w:rPr>
      <w:sz w:val="28"/>
    </w:rPr>
  </w:style>
  <w:style w:styleId="Style_7_ch" w:type="character">
    <w:name w:val="Body Text"/>
    <w:basedOn w:val="Style_11_ch"/>
    <w:link w:val="Style_7"/>
    <w:rPr>
      <w:sz w:val="28"/>
    </w:rPr>
  </w:style>
  <w:style w:styleId="Style_43" w:type="paragraph">
    <w:name w:val="Normal (Web)"/>
    <w:basedOn w:val="Style_11"/>
    <w:link w:val="Style_43_ch"/>
    <w:pPr>
      <w:spacing w:afterAutospacing="on" w:beforeAutospacing="on"/>
      <w:ind/>
    </w:pPr>
  </w:style>
  <w:style w:styleId="Style_43_ch" w:type="character">
    <w:name w:val="Normal (Web)"/>
    <w:basedOn w:val="Style_11_ch"/>
    <w:link w:val="Style_43"/>
  </w:style>
  <w:style w:styleId="Style_44" w:type="paragraph">
    <w:name w:val="Гиперссылка1"/>
    <w:link w:val="Style_44_ch"/>
    <w:rPr>
      <w:color w:val="0000FF"/>
      <w:u w:val="single"/>
    </w:rPr>
  </w:style>
  <w:style w:styleId="Style_44_ch" w:type="character">
    <w:name w:val="Гиперссылка1"/>
    <w:link w:val="Style_44"/>
    <w:rPr>
      <w:color w:val="0000FF"/>
      <w:u w:val="single"/>
    </w:rPr>
  </w:style>
  <w:style w:styleId="Style_45" w:type="paragraph">
    <w:name w:val="Subtitle"/>
    <w:next w:val="Style_11"/>
    <w:link w:val="Style_45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45_ch" w:type="character">
    <w:name w:val="Subtitle"/>
    <w:link w:val="Style_45"/>
    <w:rPr>
      <w:rFonts w:ascii="XO Thames" w:hAnsi="XO Thames"/>
      <w:i w:val="1"/>
      <w:sz w:val="24"/>
    </w:rPr>
  </w:style>
  <w:style w:styleId="Style_46" w:type="paragraph">
    <w:name w:val="Обычный1"/>
    <w:link w:val="Style_46_ch"/>
    <w:rPr>
      <w:sz w:val="24"/>
    </w:rPr>
  </w:style>
  <w:style w:styleId="Style_46_ch" w:type="character">
    <w:name w:val="Обычный1"/>
    <w:link w:val="Style_46"/>
    <w:rPr>
      <w:sz w:val="24"/>
    </w:rPr>
  </w:style>
  <w:style w:styleId="Style_47" w:type="paragraph">
    <w:name w:val="Title"/>
    <w:basedOn w:val="Style_11"/>
    <w:link w:val="Style_47_ch"/>
    <w:uiPriority w:val="10"/>
    <w:qFormat/>
    <w:pPr>
      <w:ind/>
      <w:jc w:val="center"/>
    </w:pPr>
    <w:rPr>
      <w:sz w:val="28"/>
    </w:rPr>
  </w:style>
  <w:style w:styleId="Style_47_ch" w:type="character">
    <w:name w:val="Title"/>
    <w:basedOn w:val="Style_11_ch"/>
    <w:link w:val="Style_47"/>
    <w:rPr>
      <w:sz w:val="28"/>
    </w:rPr>
  </w:style>
  <w:style w:styleId="Style_5" w:type="paragraph">
    <w:name w:val="heading 4"/>
    <w:basedOn w:val="Style_11"/>
    <w:next w:val="Style_11"/>
    <w:link w:val="Style_5_ch"/>
    <w:uiPriority w:val="9"/>
    <w:qFormat/>
    <w:pPr>
      <w:keepNext w:val="1"/>
      <w:ind/>
      <w:outlineLvl w:val="3"/>
    </w:pPr>
    <w:rPr>
      <w:sz w:val="20"/>
      <w:u w:val="single"/>
    </w:rPr>
  </w:style>
  <w:style w:styleId="Style_5_ch" w:type="character">
    <w:name w:val="heading 4"/>
    <w:basedOn w:val="Style_11_ch"/>
    <w:link w:val="Style_5"/>
    <w:rPr>
      <w:sz w:val="20"/>
      <w:u w:val="single"/>
    </w:rPr>
  </w:style>
  <w:style w:styleId="Style_48" w:type="paragraph">
    <w:name w:val="subheader"/>
    <w:basedOn w:val="Style_11"/>
    <w:link w:val="Style_48_ch"/>
    <w:pPr>
      <w:spacing w:after="75" w:before="150"/>
      <w:ind/>
    </w:pPr>
    <w:rPr>
      <w:rFonts w:ascii="Arial" w:hAnsi="Arial"/>
      <w:b w:val="1"/>
      <w:sz w:val="18"/>
    </w:rPr>
  </w:style>
  <w:style w:styleId="Style_48_ch" w:type="character">
    <w:name w:val="subheader"/>
    <w:basedOn w:val="Style_11_ch"/>
    <w:link w:val="Style_48"/>
    <w:rPr>
      <w:rFonts w:ascii="Arial" w:hAnsi="Arial"/>
      <w:b w:val="1"/>
      <w:sz w:val="18"/>
    </w:rPr>
  </w:style>
  <w:style w:styleId="Style_49" w:type="paragraph">
    <w:name w:val="heading 2"/>
    <w:basedOn w:val="Style_11"/>
    <w:next w:val="Style_11"/>
    <w:link w:val="Style_49_ch"/>
    <w:uiPriority w:val="9"/>
    <w:qFormat/>
    <w:pPr>
      <w:keepNext w:val="1"/>
      <w:ind/>
      <w:jc w:val="both"/>
      <w:outlineLvl w:val="1"/>
    </w:pPr>
    <w:rPr>
      <w:sz w:val="28"/>
    </w:rPr>
  </w:style>
  <w:style w:styleId="Style_49_ch" w:type="character">
    <w:name w:val="heading 2"/>
    <w:basedOn w:val="Style_11_ch"/>
    <w:link w:val="Style_49"/>
    <w:rPr>
      <w:sz w:val="28"/>
    </w:rPr>
  </w:style>
  <w:style w:default="1" w:styleId="Style_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10" w:type="table">
    <w:name w:val="Table Grid"/>
    <w:basedOn w:val="Style_4"/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settings.xml" Type="http://schemas.openxmlformats.org/officeDocument/2006/relationships/settings"/>
  <Relationship Id="rId1" Target="header1.xml" Type="http://schemas.openxmlformats.org/officeDocument/2006/relationships/header"/>
  <Relationship Id="rId10" Target="theme/theme1.xml" Type="http://schemas.openxmlformats.org/officeDocument/2006/relationships/theme"/>
  <Relationship Id="rId2" Target="footer2.xml" Type="http://schemas.openxmlformats.org/officeDocument/2006/relationships/footer"/>
  <Relationship Id="rId3" Target="header3.xml" Type="http://schemas.openxmlformats.org/officeDocument/2006/relationships/header"/>
  <Relationship Id="rId8" Target="stylesWithEffects.xml" Type="http://schemas.microsoft.com/office/2007/relationships/stylesWithEffects"/>
  <Relationship Id="rId4" Target="footer4.xml" Type="http://schemas.openxmlformats.org/officeDocument/2006/relationships/footer"/>
  <Relationship Id="rId11" Target="numbering.xml" Type="http://schemas.openxmlformats.org/officeDocument/2006/relationships/numbering"/>
  <Relationship Id="rId9" Target="webSettings.xml" Type="http://schemas.openxmlformats.org/officeDocument/2006/relationships/webSettings"/>
  <Relationship Id="rId7" Target="styles.xml" Type="http://schemas.openxmlformats.org/officeDocument/2006/relationships/styles"/>
  <Relationship Id="rId5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MyOffice-CoreFramework-Windows/32-1208.815.9166.836.1@c028b4579ab889516ede6e689f46f6dad43bf900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2024-09-12T12:25:15Z</dcterms:modified>
</cp:coreProperties>
</file>