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Финансово-экономическое обоснование 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к проекту областного закона «О внесении изменения в статью 11</w:t>
      </w:r>
      <w:r>
        <w:rPr>
          <w:b w:val="1"/>
          <w:sz w:val="28"/>
        </w:rPr>
        <w:t>¹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Областного закона «О социальной поддержке детства в Ростовской области»  </w:t>
      </w:r>
    </w:p>
    <w:p w14:paraId="03000000">
      <w:pPr>
        <w:ind/>
        <w:jc w:val="center"/>
        <w:rPr>
          <w:sz w:val="28"/>
        </w:rPr>
      </w:pPr>
    </w:p>
    <w:p w14:paraId="04000000">
      <w:pPr>
        <w:ind w:firstLine="709" w:left="0"/>
        <w:jc w:val="both"/>
        <w:rPr>
          <w:sz w:val="28"/>
        </w:rPr>
      </w:pPr>
      <w:r>
        <w:rPr>
          <w:sz w:val="28"/>
        </w:rPr>
        <w:t>На предоставление ежемесячной денежной выплаты</w:t>
      </w:r>
      <w:r>
        <w:rPr>
          <w:sz w:val="28"/>
        </w:rPr>
        <w:t xml:space="preserve"> </w:t>
      </w:r>
      <w:r>
        <w:rPr>
          <w:sz w:val="28"/>
        </w:rPr>
        <w:t>семьям, имеющим детей с</w:t>
      </w:r>
      <w:r>
        <w:rPr>
          <w:sz w:val="28"/>
        </w:rPr>
        <w:t> </w:t>
      </w:r>
      <w:r>
        <w:rPr>
          <w:sz w:val="28"/>
        </w:rPr>
        <w:t>фенилкетонурией</w:t>
      </w:r>
      <w:r>
        <w:rPr>
          <w:sz w:val="28"/>
        </w:rPr>
        <w:t xml:space="preserve"> (далее – ежемесячная денежная выплата),</w:t>
      </w:r>
      <w:r>
        <w:rPr>
          <w:sz w:val="28"/>
        </w:rPr>
        <w:t xml:space="preserve"> предусмотренной </w:t>
      </w:r>
      <w:r>
        <w:rPr>
          <w:sz w:val="28"/>
        </w:rPr>
        <w:t>от</w:t>
      </w:r>
      <w:r>
        <w:rPr>
          <w:sz w:val="28"/>
        </w:rPr>
        <w:t> </w:t>
      </w:r>
      <w:r>
        <w:rPr>
          <w:sz w:val="28"/>
        </w:rPr>
        <w:t>22.10.2004 № 165-ЗС «О социальной поддержке детства в Ростовской области»</w:t>
      </w:r>
      <w:r>
        <w:rPr>
          <w:sz w:val="28"/>
        </w:rPr>
        <w:t xml:space="preserve"> на</w:t>
      </w:r>
      <w:r>
        <w:rPr>
          <w:sz w:val="28"/>
        </w:rPr>
        <w:t> </w:t>
      </w:r>
      <w:r>
        <w:rPr>
          <w:sz w:val="28"/>
        </w:rPr>
        <w:t>2024 год в областном бюджете предусмотрены средства в объеме 7 982 600,00</w:t>
      </w:r>
      <w:r>
        <w:rPr>
          <w:sz w:val="28"/>
        </w:rPr>
        <w:t> </w:t>
      </w:r>
      <w:r>
        <w:rPr>
          <w:sz w:val="28"/>
        </w:rPr>
        <w:t>рублей.</w:t>
      </w:r>
    </w:p>
    <w:p w14:paraId="0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Расчет объема субвенций на осуществление полномочий по предоставлению ежемесячной денежной выплаты, предусмотренной вышеуказанными областными законами, осуществлен по Методике регулирования межбюджетных отношений в Ростовской области, утвержденной Областным законом от 26.12.2016 № 834-ЗС «О межбюджетных отношениях органов государственной власти и органов местного самоуправления в Ростовской области». </w:t>
      </w:r>
    </w:p>
    <w:p w14:paraId="0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Министерством </w:t>
      </w:r>
      <w:r>
        <w:rPr>
          <w:sz w:val="28"/>
        </w:rPr>
        <w:t>труда и социального развития Ростовской области</w:t>
      </w:r>
      <w:r>
        <w:rPr>
          <w:sz w:val="28"/>
        </w:rPr>
        <w:t xml:space="preserve"> уточнены расчеты потребности в средствах областного бюджета на предоставление ежемесячной денежной выплаты на 2024 год.</w:t>
      </w:r>
    </w:p>
    <w:p w14:paraId="0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расчетах </w:t>
      </w:r>
      <w:r>
        <w:rPr>
          <w:sz w:val="28"/>
        </w:rPr>
        <w:t>использованы</w:t>
      </w:r>
      <w:r>
        <w:rPr>
          <w:sz w:val="28"/>
        </w:rPr>
        <w:t>:</w:t>
      </w:r>
    </w:p>
    <w:p w14:paraId="08000000">
      <w:pPr>
        <w:ind w:firstLine="709" w:left="0"/>
        <w:jc w:val="both"/>
        <w:rPr>
          <w:sz w:val="28"/>
        </w:rPr>
      </w:pPr>
      <w:r>
        <w:rPr>
          <w:sz w:val="28"/>
        </w:rPr>
        <w:t>проиндексированные на 5,1</w:t>
      </w:r>
      <w:r>
        <w:rPr>
          <w:sz w:val="28"/>
        </w:rPr>
        <w:t xml:space="preserve"> </w:t>
      </w:r>
      <w:r>
        <w:rPr>
          <w:sz w:val="28"/>
        </w:rPr>
        <w:t xml:space="preserve">% размеры ежемесячной денежной выплаты на 2024 год </w:t>
      </w:r>
      <w:r>
        <w:rPr>
          <w:sz w:val="28"/>
        </w:rPr>
        <w:t xml:space="preserve">на ребенка с </w:t>
      </w:r>
      <w:r>
        <w:rPr>
          <w:sz w:val="28"/>
        </w:rPr>
        <w:t>фенилкетонурией</w:t>
      </w:r>
      <w:r>
        <w:rPr>
          <w:sz w:val="28"/>
        </w:rPr>
        <w:t xml:space="preserve"> в возрасте:</w:t>
      </w:r>
    </w:p>
    <w:p w14:paraId="09000000">
      <w:pPr>
        <w:ind w:firstLine="709" w:left="0"/>
        <w:jc w:val="both"/>
        <w:rPr>
          <w:sz w:val="28"/>
        </w:rPr>
      </w:pPr>
      <w:r>
        <w:rPr>
          <w:sz w:val="28"/>
        </w:rPr>
        <w:t>от 1 года до 1,5 лет – 2 521 рубль;</w:t>
      </w:r>
    </w:p>
    <w:p w14:paraId="0A000000">
      <w:pPr>
        <w:ind w:firstLine="709" w:left="0"/>
        <w:jc w:val="both"/>
        <w:rPr>
          <w:sz w:val="28"/>
        </w:rPr>
      </w:pPr>
      <w:r>
        <w:rPr>
          <w:sz w:val="28"/>
        </w:rPr>
        <w:t>от 1,5 лет до 3 лет – 3 049 рублей;</w:t>
      </w:r>
    </w:p>
    <w:p w14:paraId="0B000000">
      <w:pPr>
        <w:ind w:firstLine="709" w:left="0"/>
        <w:jc w:val="both"/>
        <w:rPr>
          <w:sz w:val="28"/>
        </w:rPr>
      </w:pPr>
      <w:r>
        <w:rPr>
          <w:sz w:val="28"/>
        </w:rPr>
        <w:t>от 3 лет до 5 лет – 4 137 рублей;</w:t>
      </w:r>
    </w:p>
    <w:p w14:paraId="0C000000">
      <w:pPr>
        <w:ind w:firstLine="709" w:left="0"/>
        <w:jc w:val="both"/>
        <w:rPr>
          <w:sz w:val="28"/>
        </w:rPr>
      </w:pPr>
      <w:r>
        <w:rPr>
          <w:sz w:val="28"/>
        </w:rPr>
        <w:t>от 5 лет до 7 лет – 5 612 рублей;</w:t>
      </w:r>
    </w:p>
    <w:p w14:paraId="0D000000">
      <w:pPr>
        <w:ind w:firstLine="709" w:left="0"/>
        <w:jc w:val="both"/>
        <w:rPr>
          <w:sz w:val="28"/>
        </w:rPr>
      </w:pPr>
      <w:r>
        <w:rPr>
          <w:sz w:val="28"/>
        </w:rPr>
        <w:t>от 7 лет до 18 лет – 6 612 рублей;</w:t>
      </w:r>
    </w:p>
    <w:p w14:paraId="0E000000">
      <w:pPr>
        <w:ind w:firstLine="709" w:left="0"/>
        <w:jc w:val="both"/>
        <w:rPr>
          <w:sz w:val="28"/>
        </w:rPr>
      </w:pPr>
      <w:r>
        <w:rPr>
          <w:sz w:val="28"/>
        </w:rPr>
        <w:t>фактическая численность детей в возрасте от 1 года до 18 лет на 01.01.2024 – 117 человек;</w:t>
      </w:r>
    </w:p>
    <w:p w14:paraId="0F000000">
      <w:pPr>
        <w:ind w:firstLine="709" w:left="0"/>
        <w:jc w:val="both"/>
        <w:rPr>
          <w:sz w:val="28"/>
        </w:rPr>
      </w:pPr>
      <w:r>
        <w:rPr>
          <w:sz w:val="28"/>
        </w:rPr>
        <w:t>расходы на оплату услуг по доставке ежемесячных денежных выплат                    из расчета 1,5 % от общей суммы ежемесячных денежных выплат.</w:t>
      </w:r>
    </w:p>
    <w:p w14:paraId="10000000">
      <w:pPr>
        <w:ind w:firstLine="709" w:left="0"/>
        <w:jc w:val="both"/>
        <w:rPr>
          <w:sz w:val="28"/>
        </w:rPr>
      </w:pPr>
      <w:r>
        <w:rPr>
          <w:sz w:val="28"/>
        </w:rPr>
        <w:t>В связи с изменением указанных размеров ежемесячной</w:t>
      </w:r>
      <w:r>
        <w:rPr>
          <w:sz w:val="28"/>
        </w:rPr>
        <w:t xml:space="preserve"> </w:t>
      </w:r>
      <w:r>
        <w:rPr>
          <w:sz w:val="28"/>
        </w:rPr>
        <w:t>денежной выплаты потребуется выделение дополнительных средств</w:t>
      </w:r>
      <w:r>
        <w:rPr>
          <w:sz w:val="28"/>
        </w:rPr>
        <w:t xml:space="preserve"> </w:t>
      </w:r>
      <w:r>
        <w:rPr>
          <w:sz w:val="28"/>
        </w:rPr>
        <w:t>из областного бюджета в</w:t>
      </w:r>
      <w:r>
        <w:rPr>
          <w:sz w:val="28"/>
        </w:rPr>
        <w:t> </w:t>
      </w:r>
      <w:r>
        <w:rPr>
          <w:sz w:val="28"/>
        </w:rPr>
        <w:t>объеме 39,1 тыс. рублей.</w:t>
      </w:r>
      <w:r>
        <w:rPr>
          <w:sz w:val="28"/>
        </w:rPr>
        <w:t xml:space="preserve"> </w:t>
      </w:r>
    </w:p>
    <w:p w14:paraId="1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Обеспечить выплату в новых размерах предлагается </w:t>
      </w:r>
      <w:r>
        <w:rPr>
          <w:sz w:val="28"/>
        </w:rPr>
        <w:t xml:space="preserve">за счет перераспределения </w:t>
      </w:r>
      <w:r>
        <w:rPr>
          <w:sz w:val="28"/>
        </w:rPr>
        <w:t>средств</w:t>
      </w:r>
      <w:r>
        <w:rPr>
          <w:sz w:val="28"/>
        </w:rPr>
        <w:t xml:space="preserve">, предусмотренных </w:t>
      </w:r>
      <w:bookmarkStart w:id="1" w:name="_GoBack"/>
      <w:bookmarkEnd w:id="1"/>
      <w:r>
        <w:rPr>
          <w:sz w:val="28"/>
        </w:rPr>
        <w:t>на</w:t>
      </w:r>
      <w:r>
        <w:rPr>
          <w:sz w:val="28"/>
        </w:rPr>
        <w:t> </w:t>
      </w:r>
      <w:r>
        <w:rPr>
          <w:sz w:val="28"/>
        </w:rPr>
        <w:t>предоставление мер социальной поддержки тружеников тыла</w:t>
      </w:r>
      <w:r>
        <w:rPr>
          <w:sz w:val="28"/>
        </w:rPr>
        <w:t xml:space="preserve"> </w:t>
      </w:r>
      <w:r>
        <w:rPr>
          <w:sz w:val="28"/>
        </w:rPr>
        <w:t>по проезду на</w:t>
      </w:r>
      <w:r>
        <w:rPr>
          <w:sz w:val="28"/>
        </w:rPr>
        <w:t> </w:t>
      </w:r>
      <w:r>
        <w:rPr>
          <w:sz w:val="28"/>
        </w:rPr>
        <w:t>автомобильном транспорте пригородного</w:t>
      </w:r>
      <w:r>
        <w:rPr>
          <w:sz w:val="28"/>
        </w:rPr>
        <w:t xml:space="preserve"> </w:t>
      </w:r>
      <w:r>
        <w:rPr>
          <w:sz w:val="28"/>
        </w:rPr>
        <w:t>межмуниципального и междугородного внутриобластного сообщений,</w:t>
      </w:r>
      <w:r>
        <w:rPr>
          <w:sz w:val="28"/>
        </w:rPr>
        <w:t xml:space="preserve"> </w:t>
      </w:r>
      <w:r>
        <w:rPr>
          <w:sz w:val="28"/>
        </w:rPr>
        <w:t>а также на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железнодорожном транспорте пригородного сообщения</w:t>
      </w:r>
      <w:r>
        <w:rPr>
          <w:sz w:val="28"/>
        </w:rPr>
        <w:t xml:space="preserve"> с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последующим внесением изменений в Областной закон от 14.12.2023 № 58-ЗС «Об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областном бюджете на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2024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>год и на плановый период 2025 и 2026 годов»</w:t>
      </w:r>
      <w:r>
        <w:rPr>
          <w:sz w:val="28"/>
        </w:rPr>
        <w:t>.</w:t>
      </w:r>
    </w:p>
    <w:tbl>
      <w:tblPr>
        <w:tblStyle w:val="Style_1"/>
        <w:tblW w:type="auto" w:w="0"/>
        <w:tblLayout w:type="fixed"/>
      </w:tblPr>
      <w:tblGrid>
        <w:gridCol w:w="4361"/>
        <w:gridCol w:w="2860"/>
        <w:gridCol w:w="2979"/>
      </w:tblGrid>
      <w:tr>
        <w:trPr>
          <w:trHeight w:hRule="atLeast" w:val="1485"/>
        </w:trPr>
        <w:tc>
          <w:tcPr>
            <w:tcW w:type="dxa" w:w="4361"/>
            <w:vAlign w:val="center"/>
          </w:tcPr>
          <w:p w14:paraId="12000000">
            <w:pPr>
              <w:ind/>
              <w:jc w:val="center"/>
              <w:rPr>
                <w:sz w:val="28"/>
              </w:rPr>
            </w:pPr>
          </w:p>
          <w:p w14:paraId="13000000">
            <w:pPr>
              <w:ind/>
              <w:jc w:val="center"/>
              <w:rPr>
                <w:sz w:val="28"/>
              </w:rPr>
            </w:pPr>
          </w:p>
          <w:p w14:paraId="1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</w:rPr>
              <w:t>инистр труда и социального развития Ростовской области</w:t>
            </w:r>
          </w:p>
        </w:tc>
        <w:tc>
          <w:tcPr>
            <w:tcW w:type="dxa" w:w="2860"/>
          </w:tcPr>
          <w:p w14:paraId="15000000">
            <w:pPr>
              <w:ind w:firstLine="0" w:left="35"/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[SIGNERSTAMP1]</w:t>
            </w:r>
          </w:p>
        </w:tc>
        <w:tc>
          <w:tcPr>
            <w:tcW w:type="dxa" w:w="2979"/>
            <w:vAlign w:val="center"/>
          </w:tcPr>
          <w:p w14:paraId="16000000">
            <w:pPr>
              <w:ind/>
              <w:jc w:val="right"/>
              <w:rPr>
                <w:sz w:val="28"/>
              </w:rPr>
            </w:pPr>
          </w:p>
          <w:p w14:paraId="17000000">
            <w:pPr>
              <w:ind/>
              <w:jc w:val="right"/>
              <w:rPr>
                <w:sz w:val="28"/>
              </w:rPr>
            </w:pPr>
          </w:p>
          <w:p w14:paraId="18000000">
            <w:pPr>
              <w:ind/>
              <w:jc w:val="right"/>
              <w:rPr>
                <w:sz w:val="28"/>
              </w:rPr>
            </w:pPr>
          </w:p>
          <w:p w14:paraId="1900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И.Н. Шувалова</w:t>
            </w:r>
          </w:p>
        </w:tc>
      </w:tr>
    </w:tbl>
    <w:p w14:paraId="1A000000"/>
    <w:sectPr>
      <w:pgSz w:h="16838" w:orient="portrait" w:w="11906"/>
      <w:pgMar w:bottom="964" w:footer="709" w:gutter="0" w:header="709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Основной текст с отступом 21"/>
    <w:basedOn w:val="Style_2"/>
    <w:link w:val="Style_3_ch"/>
    <w:pPr>
      <w:ind w:firstLine="709" w:left="0"/>
      <w:jc w:val="both"/>
    </w:pPr>
    <w:rPr>
      <w:sz w:val="28"/>
    </w:rPr>
  </w:style>
  <w:style w:styleId="Style_3_ch" w:type="character">
    <w:name w:val="Основной текст с отступом 21"/>
    <w:basedOn w:val="Style_2_ch"/>
    <w:link w:val="Style_3"/>
    <w:rPr>
      <w:sz w:val="28"/>
    </w:rPr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2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Balloon Text"/>
    <w:basedOn w:val="Style_2"/>
    <w:link w:val="Style_8_ch"/>
    <w:rPr>
      <w:rFonts w:ascii="Tahoma" w:hAnsi="Tahoma"/>
      <w:sz w:val="16"/>
    </w:rPr>
  </w:style>
  <w:style w:styleId="Style_8_ch" w:type="character">
    <w:name w:val="Balloon Text"/>
    <w:basedOn w:val="Style_2_ch"/>
    <w:link w:val="Style_8"/>
    <w:rPr>
      <w:rFonts w:ascii="Tahoma" w:hAnsi="Tahoma"/>
      <w:sz w:val="16"/>
    </w:rPr>
  </w:style>
  <w:style w:styleId="Style_9" w:type="paragraph">
    <w:name w:val="toc 7"/>
    <w:next w:val="Style_2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s_1"/>
    <w:basedOn w:val="Style_2"/>
    <w:link w:val="Style_10_ch"/>
    <w:pPr>
      <w:spacing w:afterAutospacing="on" w:beforeAutospacing="on"/>
      <w:ind/>
    </w:pPr>
    <w:rPr>
      <w:color w:val="000000"/>
    </w:rPr>
  </w:style>
  <w:style w:styleId="Style_10_ch" w:type="character">
    <w:name w:val="s_1"/>
    <w:basedOn w:val="Style_2_ch"/>
    <w:link w:val="Style_10"/>
    <w:rPr>
      <w:color w:val="000000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2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toc 3"/>
    <w:next w:val="Style_2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2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heading 1"/>
    <w:next w:val="Style_2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2"/>
    <w:link w:val="Style_20_ch"/>
    <w:uiPriority w:val="39"/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ind/>
      <w:jc w:val="both"/>
    </w:pPr>
    <w:rPr>
      <w:rFonts w:ascii="XO Thames" w:hAnsi="XO Thames"/>
    </w:rPr>
  </w:style>
  <w:style w:styleId="Style_21_ch" w:type="character">
    <w:name w:val="Header and Footer"/>
    <w:link w:val="Style_21"/>
    <w:rPr>
      <w:rFonts w:ascii="XO Thames" w:hAnsi="XO Thames"/>
    </w:rPr>
  </w:style>
  <w:style w:styleId="Style_22" w:type="paragraph">
    <w:name w:val="toc 9"/>
    <w:next w:val="Style_2"/>
    <w:link w:val="Style_22_ch"/>
    <w:uiPriority w:val="39"/>
    <w:pPr>
      <w:ind w:firstLine="0" w:left="1600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2"/>
    <w:link w:val="Style_23_ch"/>
    <w:uiPriority w:val="39"/>
    <w:pPr>
      <w:ind w:firstLine="0" w:left="1400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2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2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2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2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Обычный1"/>
    <w:link w:val="Style_28_ch"/>
    <w:rPr>
      <w:sz w:val="24"/>
    </w:rPr>
  </w:style>
  <w:style w:styleId="Style_28_ch" w:type="character">
    <w:name w:val="Обычный1"/>
    <w:link w:val="Style_28"/>
    <w:rPr>
      <w:sz w:val="24"/>
    </w:rPr>
  </w:style>
  <w:style w:styleId="Style_29" w:type="paragraph">
    <w:name w:val="heading 2"/>
    <w:next w:val="Style_2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2024-09-12T16:00:57Z</dcterms:modified>
</cp:coreProperties>
</file>