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5000000">
      <w:pPr>
        <w:ind w:right="-2"/>
        <w:jc w:val="center"/>
        <w:rPr>
          <w:b w:val="1"/>
          <w:sz w:val="28"/>
        </w:rPr>
      </w:pPr>
      <w:r>
        <w:rPr>
          <w:b w:val="1"/>
          <w:sz w:val="28"/>
        </w:rPr>
        <w:t>Пояснительная записка</w:t>
      </w:r>
    </w:p>
    <w:p w14:paraId="06000000">
      <w:pPr>
        <w:ind w:right="-2"/>
        <w:jc w:val="center"/>
        <w:rPr>
          <w:b w:val="1"/>
          <w:sz w:val="28"/>
        </w:rPr>
      </w:pPr>
      <w:r>
        <w:rPr>
          <w:b w:val="1"/>
          <w:sz w:val="28"/>
        </w:rPr>
        <w:t>к проекту областного закона «</w:t>
      </w:r>
      <w:r>
        <w:rPr>
          <w:b w:val="1"/>
          <w:sz w:val="28"/>
        </w:rPr>
        <w:t>О внесении изменени</w:t>
      </w:r>
      <w:r>
        <w:rPr>
          <w:b w:val="1"/>
          <w:sz w:val="28"/>
        </w:rPr>
        <w:t>я</w:t>
      </w:r>
      <w:r>
        <w:rPr>
          <w:b w:val="1"/>
          <w:sz w:val="28"/>
        </w:rPr>
        <w:t xml:space="preserve"> </w:t>
      </w:r>
      <w:r>
        <w:rPr>
          <w:b w:val="1"/>
          <w:sz w:val="28"/>
        </w:rPr>
        <w:t xml:space="preserve">в статью </w:t>
      </w:r>
      <w:r>
        <w:rPr>
          <w:b w:val="1"/>
          <w:sz w:val="28"/>
        </w:rPr>
        <w:t>4</w:t>
      </w:r>
      <w:r>
        <w:rPr>
          <w:b w:val="1"/>
          <w:sz w:val="28"/>
        </w:rPr>
        <w:t xml:space="preserve"> </w:t>
      </w:r>
    </w:p>
    <w:p w14:paraId="07000000">
      <w:pPr>
        <w:ind w:right="-2"/>
        <w:jc w:val="center"/>
        <w:rPr>
          <w:b w:val="1"/>
          <w:sz w:val="28"/>
        </w:rPr>
      </w:pPr>
      <w:r>
        <w:rPr>
          <w:b w:val="1"/>
          <w:sz w:val="28"/>
        </w:rPr>
        <w:t xml:space="preserve">Областного закона «О критериях, которым должны соответствовать </w:t>
      </w:r>
    </w:p>
    <w:p w14:paraId="08000000">
      <w:pPr>
        <w:ind w:right="-2"/>
        <w:jc w:val="center"/>
        <w:rPr>
          <w:b w:val="1"/>
          <w:sz w:val="28"/>
        </w:rPr>
      </w:pPr>
      <w:r>
        <w:rPr>
          <w:b w:val="1"/>
          <w:sz w:val="28"/>
        </w:rPr>
        <w:t xml:space="preserve">объекты социально-культурного и коммунально-бытового назначения, масштабные инвестиционные проекты, в целях предоставления </w:t>
      </w:r>
    </w:p>
    <w:p w14:paraId="09000000">
      <w:pPr>
        <w:ind w:right="-2"/>
        <w:jc w:val="center"/>
        <w:rPr>
          <w:b w:val="1"/>
          <w:sz w:val="28"/>
        </w:rPr>
      </w:pPr>
      <w:r>
        <w:rPr>
          <w:b w:val="1"/>
          <w:sz w:val="28"/>
        </w:rPr>
        <w:t>земельных участков в аренду без проведения торгов»</w:t>
      </w:r>
    </w:p>
    <w:p w14:paraId="0A000000">
      <w:pPr>
        <w:ind w:right="-2"/>
        <w:jc w:val="center"/>
        <w:rPr>
          <w:sz w:val="28"/>
        </w:rPr>
      </w:pPr>
    </w:p>
    <w:p w14:paraId="0B000000">
      <w:pPr>
        <w:ind w:firstLine="567" w:left="0"/>
        <w:jc w:val="both"/>
        <w:rPr>
          <w:sz w:val="28"/>
        </w:rPr>
      </w:pPr>
      <w:r>
        <w:rPr>
          <w:sz w:val="28"/>
        </w:rPr>
        <w:t>Проект</w:t>
      </w:r>
      <w:r>
        <w:rPr>
          <w:sz w:val="28"/>
        </w:rPr>
        <w:t>ом</w:t>
      </w:r>
      <w:r>
        <w:rPr>
          <w:sz w:val="28"/>
        </w:rPr>
        <w:t xml:space="preserve"> областного закона «</w:t>
      </w:r>
      <w:r>
        <w:rPr>
          <w:sz w:val="28"/>
        </w:rPr>
        <w:t>О внесении изменения в статью 4</w:t>
      </w:r>
      <w:r>
        <w:rPr>
          <w:sz w:val="28"/>
        </w:rPr>
        <w:t xml:space="preserve"> Областного закона «О критериях, которым должны соответствовать объекты социально-культурного и коммунально-бытового назначения, масштабные инвестиционные проекты, в целях предоставления земельных участков в аренду без проведения торгов</w:t>
      </w:r>
      <w:r>
        <w:rPr>
          <w:sz w:val="28"/>
        </w:rPr>
        <w:t xml:space="preserve">» (далее - законопроект) </w:t>
      </w:r>
      <w:r>
        <w:rPr>
          <w:sz w:val="28"/>
        </w:rPr>
        <w:t xml:space="preserve">предлагается изложить </w:t>
      </w:r>
      <w:r>
        <w:rPr>
          <w:sz w:val="28"/>
        </w:rPr>
        <w:t>подпункт «г»</w:t>
      </w:r>
      <w:r>
        <w:t xml:space="preserve"> </w:t>
      </w:r>
      <w:r>
        <w:rPr>
          <w:sz w:val="28"/>
        </w:rPr>
        <w:t>пункта 1 части </w:t>
      </w:r>
      <w:r>
        <w:rPr>
          <w:sz w:val="28"/>
        </w:rPr>
        <w:t xml:space="preserve">7 </w:t>
      </w:r>
      <w:r>
        <w:rPr>
          <w:sz w:val="28"/>
        </w:rPr>
        <w:t>статьи</w:t>
      </w:r>
      <w:r>
        <w:rPr>
          <w:sz w:val="28"/>
        </w:rPr>
        <w:t xml:space="preserve"> </w:t>
      </w:r>
      <w:r>
        <w:rPr>
          <w:sz w:val="28"/>
        </w:rPr>
        <w:t>4</w:t>
      </w:r>
      <w:r>
        <w:rPr>
          <w:sz w:val="28"/>
        </w:rPr>
        <w:t xml:space="preserve"> </w:t>
      </w:r>
      <w:r>
        <w:rPr>
          <w:sz w:val="28"/>
        </w:rPr>
        <w:t>Областно</w:t>
      </w:r>
      <w:r>
        <w:rPr>
          <w:sz w:val="28"/>
        </w:rPr>
        <w:t>го</w:t>
      </w:r>
      <w:r>
        <w:rPr>
          <w:sz w:val="28"/>
        </w:rPr>
        <w:t xml:space="preserve"> закон</w:t>
      </w:r>
      <w:r>
        <w:rPr>
          <w:sz w:val="28"/>
        </w:rPr>
        <w:t xml:space="preserve">а от 25 февраля 2015 года № 312-ЗС </w:t>
      </w:r>
      <w:r>
        <w:rPr>
          <w:sz w:val="28"/>
        </w:rPr>
        <w:t>«О </w:t>
      </w:r>
      <w:r>
        <w:rPr>
          <w:sz w:val="28"/>
        </w:rPr>
        <w:t xml:space="preserve">критериях, которым должны соответствовать объекты социально-культурного и коммунально-бытового назначения, масштабные инвестиционные проекты, в целях </w:t>
      </w:r>
      <w:r>
        <w:rPr>
          <w:sz w:val="28"/>
        </w:rPr>
        <w:t>предоставления земельных участков в аренду без проведения торгов»</w:t>
      </w:r>
      <w:r>
        <w:rPr>
          <w:sz w:val="28"/>
        </w:rPr>
        <w:t xml:space="preserve"> (далее – Областной закон) </w:t>
      </w:r>
      <w:r>
        <w:rPr>
          <w:sz w:val="28"/>
        </w:rPr>
        <w:t xml:space="preserve">в новой редакции, согласно которой </w:t>
      </w:r>
      <w:r>
        <w:rPr>
          <w:sz w:val="28"/>
        </w:rPr>
        <w:t>расширяются</w:t>
      </w:r>
      <w:r>
        <w:rPr>
          <w:sz w:val="28"/>
        </w:rPr>
        <w:t xml:space="preserve"> </w:t>
      </w:r>
      <w:r>
        <w:rPr>
          <w:sz w:val="28"/>
        </w:rPr>
        <w:t>возможности органов местного самоуправления по использованию передаваемых</w:t>
      </w:r>
      <w:r>
        <w:rPr>
          <w:sz w:val="28"/>
        </w:rPr>
        <w:t xml:space="preserve"> </w:t>
      </w:r>
      <w:r>
        <w:rPr>
          <w:sz w:val="28"/>
        </w:rPr>
        <w:t>инвесторами</w:t>
      </w:r>
      <w:r>
        <w:rPr>
          <w:sz w:val="28"/>
        </w:rPr>
        <w:t xml:space="preserve"> </w:t>
      </w:r>
      <w:r>
        <w:rPr>
          <w:sz w:val="28"/>
        </w:rPr>
        <w:t xml:space="preserve">в муниципальную собственность </w:t>
      </w:r>
      <w:r>
        <w:rPr>
          <w:sz w:val="28"/>
        </w:rPr>
        <w:t>жилых помещений</w:t>
      </w:r>
      <w:r>
        <w:rPr>
          <w:sz w:val="28"/>
        </w:rPr>
        <w:t>.</w:t>
      </w:r>
    </w:p>
    <w:p w14:paraId="0C000000">
      <w:pPr>
        <w:ind w:firstLine="567" w:left="0"/>
        <w:jc w:val="both"/>
        <w:rPr>
          <w:sz w:val="28"/>
        </w:rPr>
      </w:pPr>
      <w:r>
        <w:rPr>
          <w:sz w:val="28"/>
        </w:rPr>
        <w:t xml:space="preserve">В действующей редакции </w:t>
      </w:r>
      <w:r>
        <w:rPr>
          <w:sz w:val="28"/>
        </w:rPr>
        <w:t xml:space="preserve">Областного закона </w:t>
      </w:r>
      <w:r>
        <w:rPr>
          <w:sz w:val="28"/>
        </w:rPr>
        <w:t>критерий, установленный</w:t>
      </w:r>
      <w:r>
        <w:rPr>
          <w:sz w:val="28"/>
        </w:rPr>
        <w:t xml:space="preserve"> </w:t>
      </w:r>
      <w:r>
        <w:rPr>
          <w:sz w:val="28"/>
        </w:rPr>
        <w:t>подпунктом «г»</w:t>
      </w:r>
      <w:r>
        <w:t xml:space="preserve"> </w:t>
      </w:r>
      <w:r>
        <w:rPr>
          <w:sz w:val="28"/>
        </w:rPr>
        <w:t xml:space="preserve">пункта 1 части </w:t>
      </w:r>
      <w:r>
        <w:rPr>
          <w:sz w:val="28"/>
        </w:rPr>
        <w:t xml:space="preserve">7 </w:t>
      </w:r>
      <w:r>
        <w:rPr>
          <w:sz w:val="28"/>
        </w:rPr>
        <w:t>статьи</w:t>
      </w:r>
      <w:r>
        <w:rPr>
          <w:sz w:val="28"/>
        </w:rPr>
        <w:t xml:space="preserve"> </w:t>
      </w:r>
      <w:r>
        <w:rPr>
          <w:sz w:val="28"/>
        </w:rPr>
        <w:t>4, на соответствие которому</w:t>
      </w:r>
      <w:r>
        <w:rPr>
          <w:sz w:val="28"/>
        </w:rPr>
        <w:t xml:space="preserve"> рассматриваются масштабные инвестиционные проекты в сфере жилищного </w:t>
      </w:r>
      <w:r>
        <w:rPr>
          <w:sz w:val="28"/>
        </w:rPr>
        <w:t>строительства, предусматривает</w:t>
      </w:r>
      <w:r>
        <w:rPr>
          <w:sz w:val="28"/>
        </w:rPr>
        <w:t xml:space="preserve"> передач</w:t>
      </w:r>
      <w:r>
        <w:rPr>
          <w:sz w:val="28"/>
        </w:rPr>
        <w:t>у</w:t>
      </w:r>
      <w:r>
        <w:rPr>
          <w:sz w:val="28"/>
        </w:rPr>
        <w:t xml:space="preserve"> в муниципальную собственность не менее 5 процентов общей площади строящихся жилых помещений в целях обеспечения ими </w:t>
      </w:r>
      <w:r>
        <w:rPr>
          <w:sz w:val="28"/>
        </w:rPr>
        <w:t>только некоторых</w:t>
      </w:r>
      <w:r>
        <w:rPr>
          <w:sz w:val="28"/>
        </w:rPr>
        <w:t xml:space="preserve"> категорий граждан, а именно проживающих по договорам социального найма или являющихся собственниками жилых помещений в многоквартирных домах, признанных аварийными и подлежащими сносу, а также детей-сирот, детей, оставшихся без попечения родителей.</w:t>
      </w:r>
    </w:p>
    <w:p w14:paraId="0D000000">
      <w:pPr>
        <w:ind w:firstLine="567" w:left="0"/>
        <w:jc w:val="both"/>
        <w:rPr>
          <w:sz w:val="28"/>
        </w:rPr>
      </w:pPr>
      <w:r>
        <w:rPr>
          <w:sz w:val="28"/>
        </w:rPr>
        <w:t>Вместе с тем имеются иные льготные категории граждан, имеющие право на первоочередное или внеочередное предоставление жилья в соответствии с законодательством Российской Федерации.</w:t>
      </w:r>
    </w:p>
    <w:p w14:paraId="0E000000">
      <w:pPr>
        <w:ind w:firstLine="708" w:left="0"/>
        <w:jc w:val="both"/>
        <w:rPr>
          <w:sz w:val="28"/>
        </w:rPr>
      </w:pPr>
      <w:r>
        <w:rPr>
          <w:sz w:val="28"/>
        </w:rPr>
        <w:t>Принятие законопроекта будет способствовать расширению</w:t>
      </w:r>
      <w:r>
        <w:rPr>
          <w:sz w:val="28"/>
        </w:rPr>
        <w:t xml:space="preserve"> источников формирования специализированного жилого фонда (маневренного, служебного)</w:t>
      </w:r>
      <w:r>
        <w:rPr>
          <w:sz w:val="28"/>
        </w:rPr>
        <w:t>, что, в свою очередь,</w:t>
      </w:r>
      <w:r>
        <w:rPr>
          <w:b w:val="1"/>
          <w:sz w:val="32"/>
        </w:rPr>
        <w:t xml:space="preserve"> </w:t>
      </w:r>
      <w:r>
        <w:rPr>
          <w:sz w:val="28"/>
        </w:rPr>
        <w:t>позволит органам местного самоуправления более эффективно решать вопросы</w:t>
      </w:r>
      <w:r>
        <w:rPr>
          <w:sz w:val="28"/>
        </w:rPr>
        <w:t xml:space="preserve"> местного значения </w:t>
      </w:r>
      <w:r>
        <w:rPr>
          <w:sz w:val="28"/>
        </w:rPr>
        <w:t xml:space="preserve">в части обеспечения жильем нуждающихся категорий граждан. </w:t>
      </w:r>
    </w:p>
    <w:p w14:paraId="0F000000">
      <w:pPr>
        <w:ind w:firstLine="567" w:left="0"/>
        <w:jc w:val="both"/>
        <w:rPr>
          <w:sz w:val="28"/>
        </w:rPr>
      </w:pPr>
      <w:r>
        <w:rPr>
          <w:sz w:val="28"/>
        </w:rPr>
        <w:t xml:space="preserve">Принятие законопроекта не потребует дополнительных затрат </w:t>
      </w:r>
      <w:r>
        <w:rPr>
          <w:sz w:val="28"/>
        </w:rPr>
        <w:br/>
      </w:r>
      <w:r>
        <w:rPr>
          <w:sz w:val="28"/>
        </w:rPr>
        <w:t>из областного бюджета.</w:t>
      </w:r>
    </w:p>
    <w:p w14:paraId="10000000">
      <w:pPr>
        <w:ind w:firstLine="567" w:left="0"/>
        <w:jc w:val="both"/>
        <w:rPr>
          <w:sz w:val="28"/>
        </w:rPr>
      </w:pPr>
    </w:p>
    <w:p w14:paraId="11000000">
      <w:pPr>
        <w:ind w:firstLine="567" w:left="0"/>
        <w:jc w:val="both"/>
        <w:rPr>
          <w:sz w:val="28"/>
        </w:rPr>
      </w:pPr>
    </w:p>
    <w:tbl>
      <w:tblPr>
        <w:tblStyle w:val="Style_3"/>
        <w:tblW w:type="auto" w:w="0"/>
        <w:tblInd w:type="dxa" w:w="108"/>
        <w:tblLayout w:type="fixed"/>
      </w:tblPr>
      <w:tblGrid>
        <w:gridCol w:w="5956"/>
        <w:gridCol w:w="4359"/>
      </w:tblGrid>
      <w:tr>
        <w:trPr>
          <w:trHeight w:hRule="atLeast" w:val="977"/>
        </w:trPr>
        <w:tc>
          <w:tcPr>
            <w:tcW w:type="dxa" w:w="5956"/>
          </w:tcPr>
          <w:p w14:paraId="12000000">
            <w:pPr>
              <w:pStyle w:val="Style_4"/>
              <w:spacing w:line="240" w:lineRule="atLeast"/>
              <w:ind w:firstLine="0" w:left="-108"/>
              <w:jc w:val="left"/>
            </w:pPr>
            <w:r>
              <w:t>М</w:t>
            </w:r>
            <w:r>
              <w:t>инистр имущественных</w:t>
            </w:r>
            <w:r>
              <w:t xml:space="preserve"> </w:t>
            </w:r>
            <w:r>
              <w:t xml:space="preserve">и земельных отношений, финансового оздоровления предприятий, организаций </w:t>
            </w:r>
            <w:r>
              <w:t xml:space="preserve">Ростовской </w:t>
            </w:r>
            <w:r>
              <w:t>области</w:t>
            </w:r>
          </w:p>
        </w:tc>
        <w:tc>
          <w:tcPr>
            <w:tcW w:type="dxa" w:w="4359"/>
          </w:tcPr>
          <w:p w14:paraId="13000000">
            <w:pPr>
              <w:pStyle w:val="Style_4"/>
              <w:spacing w:line="240" w:lineRule="atLeast"/>
              <w:ind/>
              <w:jc w:val="right"/>
            </w:pPr>
          </w:p>
          <w:p w14:paraId="14000000">
            <w:pPr>
              <w:pStyle w:val="Style_4"/>
              <w:spacing w:line="240" w:lineRule="atLeast"/>
              <w:ind/>
              <w:jc w:val="right"/>
            </w:pPr>
          </w:p>
          <w:p w14:paraId="15000000">
            <w:pPr>
              <w:pStyle w:val="Style_4"/>
              <w:spacing w:line="240" w:lineRule="atLeast"/>
              <w:ind/>
              <w:jc w:val="right"/>
            </w:pPr>
            <w:r>
              <w:t>Е.В. Осыченко</w:t>
            </w:r>
          </w:p>
        </w:tc>
      </w:tr>
    </w:tbl>
    <w:p w14:paraId="16000000">
      <w:pPr>
        <w:ind w:right="-2"/>
        <w:jc w:val="both"/>
        <w:rPr>
          <w:sz w:val="28"/>
        </w:rPr>
      </w:pPr>
      <w:r>
        <w:rPr>
          <w:sz w:val="28"/>
        </w:rPr>
        <w:tab/>
      </w:r>
    </w:p>
    <w:sectPr>
      <w:footerReference r:id="rId1" w:type="default"/>
      <w:footerReference r:id="rId2" w:type="even"/>
      <w:pgSz w:h="16838" w:orient="portrait" w:w="11906"/>
      <w:pgMar w:bottom="567" w:footer="709" w:gutter="0" w:header="709" w:left="1134" w:right="567" w:top="851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right"/>
      <w:rPr>
        <w:rStyle w:val="Style_2_ch"/>
      </w:rPr>
    </w:pPr>
    <w:r>
      <w:rPr>
        <w:rStyle w:val="Style_2_ch"/>
      </w:rPr>
      <w:fldChar w:fldCharType="begin"/>
    </w:r>
    <w:r>
      <w:rPr>
        <w:rStyle w:val="Style_2_ch"/>
      </w:rPr>
      <w:instrText xml:space="preserve">PAGE </w:instrText>
    </w:r>
    <w:r>
      <w:rPr>
        <w:rStyle w:val="Style_2_ch"/>
      </w:rPr>
      <w:fldChar w:fldCharType="separate"/>
    </w:r>
    <w:r>
      <w:rPr>
        <w:rStyle w:val="Style_2_ch"/>
      </w:rPr>
      <w:t xml:space="preserve"> </w:t>
    </w:r>
    <w:r>
      <w:rPr>
        <w:rStyle w:val="Style_2_ch"/>
      </w:rPr>
      <w:fldChar w:fldCharType="end"/>
    </w:r>
  </w:p>
  <w:p w14:paraId="02000000">
    <w:pPr>
      <w:pStyle w:val="Style_1"/>
      <w:ind w:right="360"/>
    </w:pPr>
  </w:p>
</w:ftr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1"/>
      <w:ind/>
      <w:jc w:val="right"/>
      <w:rPr>
        <w:rStyle w:val="Style_2_ch"/>
      </w:rPr>
    </w:pPr>
  </w:p>
  <w:p w14:paraId="04000000">
    <w:pPr>
      <w:pStyle w:val="Style_1"/>
      <w:ind w:right="360"/>
    </w:pP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  <w:rPr>
      <w:sz w:val="24"/>
    </w:rPr>
  </w:style>
  <w:style w:default="1" w:styleId="Style_5_ch" w:type="character">
    <w:name w:val="Normal"/>
    <w:link w:val="Style_5"/>
    <w:rPr>
      <w:sz w:val="24"/>
    </w:rPr>
  </w:style>
  <w:style w:styleId="Style_6" w:type="paragraph">
    <w:name w:val="toc 2"/>
    <w:next w:val="Style_5"/>
    <w:link w:val="Style_6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toc 4"/>
    <w:next w:val="Style_5"/>
    <w:link w:val="Style_7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8" w:type="paragraph">
    <w:name w:val="toc 6"/>
    <w:next w:val="Style_5"/>
    <w:link w:val="Style_8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8_ch" w:type="character">
    <w:name w:val="toc 6"/>
    <w:link w:val="Style_8"/>
    <w:rPr>
      <w:rFonts w:ascii="XO Thames" w:hAnsi="XO Thames"/>
      <w:sz w:val="28"/>
    </w:rPr>
  </w:style>
  <w:style w:styleId="Style_9" w:type="paragraph">
    <w:name w:val="toc 7"/>
    <w:next w:val="Style_5"/>
    <w:link w:val="Style_9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9_ch" w:type="character">
    <w:name w:val="toc 7"/>
    <w:link w:val="Style_9"/>
    <w:rPr>
      <w:rFonts w:ascii="XO Thames" w:hAnsi="XO Thames"/>
      <w:sz w:val="28"/>
    </w:rPr>
  </w:style>
  <w:style w:styleId="Style_10" w:type="paragraph">
    <w:name w:val="Endnote"/>
    <w:link w:val="Style_10_ch"/>
    <w:pPr>
      <w:ind w:firstLine="851" w:left="0"/>
      <w:jc w:val="both"/>
    </w:pPr>
    <w:rPr>
      <w:rFonts w:ascii="XO Thames" w:hAnsi="XO Thames"/>
      <w:sz w:val="22"/>
    </w:rPr>
  </w:style>
  <w:style w:styleId="Style_10_ch" w:type="character">
    <w:name w:val="Endnote"/>
    <w:link w:val="Style_10"/>
    <w:rPr>
      <w:rFonts w:ascii="XO Thames" w:hAnsi="XO Thames"/>
      <w:sz w:val="22"/>
    </w:rPr>
  </w:style>
  <w:style w:styleId="Style_11" w:type="paragraph">
    <w:name w:val="heading 3"/>
    <w:next w:val="Style_5"/>
    <w:link w:val="Style_11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1_ch" w:type="character">
    <w:name w:val="heading 3"/>
    <w:link w:val="Style_11"/>
    <w:rPr>
      <w:rFonts w:ascii="XO Thames" w:hAnsi="XO Thames"/>
      <w:b w:val="1"/>
      <w:sz w:val="26"/>
    </w:rPr>
  </w:style>
  <w:style w:styleId="Style_2" w:type="paragraph">
    <w:name w:val="page number"/>
    <w:basedOn w:val="Style_12"/>
    <w:link w:val="Style_2_ch"/>
  </w:style>
  <w:style w:styleId="Style_2_ch" w:type="character">
    <w:name w:val="page number"/>
    <w:basedOn w:val="Style_12_ch"/>
    <w:link w:val="Style_2"/>
  </w:style>
  <w:style w:styleId="Style_13" w:type="paragraph">
    <w:name w:val="toc 3"/>
    <w:next w:val="Style_5"/>
    <w:link w:val="Style_13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3_ch" w:type="character">
    <w:name w:val="toc 3"/>
    <w:link w:val="Style_13"/>
    <w:rPr>
      <w:rFonts w:ascii="XO Thames" w:hAnsi="XO Thames"/>
      <w:sz w:val="28"/>
    </w:rPr>
  </w:style>
  <w:style w:styleId="Style_12" w:type="paragraph">
    <w:name w:val="Default Paragraph Font"/>
    <w:link w:val="Style_12_ch"/>
  </w:style>
  <w:style w:styleId="Style_12_ch" w:type="character">
    <w:name w:val="Default Paragraph Font"/>
    <w:link w:val="Style_12"/>
  </w:style>
  <w:style w:styleId="Style_4" w:type="paragraph">
    <w:name w:val="Body Text"/>
    <w:basedOn w:val="Style_5"/>
    <w:link w:val="Style_4_ch"/>
    <w:pPr>
      <w:ind/>
      <w:jc w:val="center"/>
    </w:pPr>
    <w:rPr>
      <w:sz w:val="28"/>
    </w:rPr>
  </w:style>
  <w:style w:styleId="Style_4_ch" w:type="character">
    <w:name w:val="Body Text"/>
    <w:basedOn w:val="Style_5_ch"/>
    <w:link w:val="Style_4"/>
    <w:rPr>
      <w:sz w:val="28"/>
    </w:rPr>
  </w:style>
  <w:style w:styleId="Style_14" w:type="paragraph">
    <w:name w:val="heading 5"/>
    <w:next w:val="Style_5"/>
    <w:link w:val="Style_14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4_ch" w:type="character">
    <w:name w:val="heading 5"/>
    <w:link w:val="Style_14"/>
    <w:rPr>
      <w:rFonts w:ascii="XO Thames" w:hAnsi="XO Thames"/>
      <w:b w:val="1"/>
      <w:sz w:val="22"/>
    </w:rPr>
  </w:style>
  <w:style w:styleId="Style_15" w:type="paragraph">
    <w:name w:val="heading 1"/>
    <w:next w:val="Style_5"/>
    <w:link w:val="Style_15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5_ch" w:type="character">
    <w:name w:val="heading 1"/>
    <w:link w:val="Style_15"/>
    <w:rPr>
      <w:rFonts w:ascii="XO Thames" w:hAnsi="XO Thames"/>
      <w:b w:val="1"/>
      <w:sz w:val="32"/>
    </w:rPr>
  </w:style>
  <w:style w:styleId="Style_16" w:type="paragraph">
    <w:name w:val="Hyperlink"/>
    <w:link w:val="Style_16_ch"/>
    <w:rPr>
      <w:color w:val="0000FF"/>
      <w:u w:val="single"/>
    </w:rPr>
  </w:style>
  <w:style w:styleId="Style_16_ch" w:type="character">
    <w:name w:val="Hyperlink"/>
    <w:link w:val="Style_16"/>
    <w:rPr>
      <w:color w:val="0000FF"/>
      <w:u w:val="single"/>
    </w:rPr>
  </w:style>
  <w:style w:styleId="Style_17" w:type="paragraph">
    <w:name w:val="Footnote"/>
    <w:link w:val="Style_17_ch"/>
    <w:pPr>
      <w:ind w:firstLine="851" w:left="0"/>
      <w:jc w:val="both"/>
    </w:pPr>
    <w:rPr>
      <w:rFonts w:ascii="XO Thames" w:hAnsi="XO Thames"/>
      <w:sz w:val="22"/>
    </w:rPr>
  </w:style>
  <w:style w:styleId="Style_17_ch" w:type="character">
    <w:name w:val="Footnote"/>
    <w:link w:val="Style_17"/>
    <w:rPr>
      <w:rFonts w:ascii="XO Thames" w:hAnsi="XO Thames"/>
      <w:sz w:val="22"/>
    </w:rPr>
  </w:style>
  <w:style w:styleId="Style_18" w:type="paragraph">
    <w:name w:val="toc 1"/>
    <w:next w:val="Style_5"/>
    <w:link w:val="Style_18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8_ch" w:type="character">
    <w:name w:val="toc 1"/>
    <w:link w:val="Style_18"/>
    <w:rPr>
      <w:rFonts w:ascii="XO Thames" w:hAnsi="XO Thames"/>
      <w:b w:val="1"/>
      <w:sz w:val="28"/>
    </w:rPr>
  </w:style>
  <w:style w:styleId="Style_19" w:type="paragraph">
    <w:name w:val="Header and Footer"/>
    <w:link w:val="Style_19_ch"/>
    <w:pPr>
      <w:spacing w:line="240" w:lineRule="auto"/>
      <w:ind/>
      <w:jc w:val="both"/>
    </w:pPr>
    <w:rPr>
      <w:rFonts w:ascii="XO Thames" w:hAnsi="XO Thames"/>
      <w:sz w:val="28"/>
    </w:rPr>
  </w:style>
  <w:style w:styleId="Style_19_ch" w:type="character">
    <w:name w:val="Header and Footer"/>
    <w:link w:val="Style_19"/>
    <w:rPr>
      <w:rFonts w:ascii="XO Thames" w:hAnsi="XO Thames"/>
      <w:sz w:val="28"/>
    </w:rPr>
  </w:style>
  <w:style w:styleId="Style_20" w:type="paragraph">
    <w:name w:val="toc 9"/>
    <w:next w:val="Style_5"/>
    <w:link w:val="Style_20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0_ch" w:type="character">
    <w:name w:val="toc 9"/>
    <w:link w:val="Style_20"/>
    <w:rPr>
      <w:rFonts w:ascii="XO Thames" w:hAnsi="XO Thames"/>
      <w:sz w:val="28"/>
    </w:rPr>
  </w:style>
  <w:style w:styleId="Style_21" w:type="paragraph">
    <w:name w:val="toc 8"/>
    <w:next w:val="Style_5"/>
    <w:link w:val="Style_21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1_ch" w:type="character">
    <w:name w:val="toc 8"/>
    <w:link w:val="Style_21"/>
    <w:rPr>
      <w:rFonts w:ascii="XO Thames" w:hAnsi="XO Thames"/>
      <w:sz w:val="28"/>
    </w:rPr>
  </w:style>
  <w:style w:styleId="Style_22" w:type="paragraph">
    <w:name w:val="toc 5"/>
    <w:next w:val="Style_5"/>
    <w:link w:val="Style_22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2_ch" w:type="character">
    <w:name w:val="toc 5"/>
    <w:link w:val="Style_22"/>
    <w:rPr>
      <w:rFonts w:ascii="XO Thames" w:hAnsi="XO Thames"/>
      <w:sz w:val="28"/>
    </w:rPr>
  </w:style>
  <w:style w:styleId="Style_23" w:type="paragraph">
    <w:name w:val="подпись1"/>
    <w:basedOn w:val="Style_5"/>
    <w:link w:val="Style_23_ch"/>
    <w:pPr>
      <w:widowControl w:val="0"/>
      <w:ind w:firstLine="720" w:left="0"/>
      <w:jc w:val="both"/>
    </w:pPr>
    <w:rPr>
      <w:b w:val="1"/>
      <w:i w:val="1"/>
      <w:sz w:val="28"/>
    </w:rPr>
  </w:style>
  <w:style w:styleId="Style_23_ch" w:type="character">
    <w:name w:val="подпись1"/>
    <w:basedOn w:val="Style_5_ch"/>
    <w:link w:val="Style_23"/>
    <w:rPr>
      <w:b w:val="1"/>
      <w:i w:val="1"/>
      <w:sz w:val="28"/>
    </w:rPr>
  </w:style>
  <w:style w:styleId="Style_24" w:type="paragraph">
    <w:name w:val="Subtitle"/>
    <w:next w:val="Style_5"/>
    <w:link w:val="Style_24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4_ch" w:type="character">
    <w:name w:val="Subtitle"/>
    <w:link w:val="Style_24"/>
    <w:rPr>
      <w:rFonts w:ascii="XO Thames" w:hAnsi="XO Thames"/>
      <w:i w:val="1"/>
      <w:sz w:val="24"/>
    </w:rPr>
  </w:style>
  <w:style w:styleId="Style_25" w:type="paragraph">
    <w:name w:val="Balloon Text"/>
    <w:basedOn w:val="Style_5"/>
    <w:link w:val="Style_25_ch"/>
    <w:rPr>
      <w:rFonts w:ascii="Tahoma" w:hAnsi="Tahoma"/>
      <w:sz w:val="16"/>
    </w:rPr>
  </w:style>
  <w:style w:styleId="Style_25_ch" w:type="character">
    <w:name w:val="Balloon Text"/>
    <w:basedOn w:val="Style_5_ch"/>
    <w:link w:val="Style_25"/>
    <w:rPr>
      <w:rFonts w:ascii="Tahoma" w:hAnsi="Tahoma"/>
      <w:sz w:val="16"/>
    </w:rPr>
  </w:style>
  <w:style w:styleId="Style_1" w:type="paragraph">
    <w:name w:val="footer"/>
    <w:basedOn w:val="Style_5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footer"/>
    <w:basedOn w:val="Style_5_ch"/>
    <w:link w:val="Style_1"/>
  </w:style>
  <w:style w:styleId="Style_26" w:type="paragraph">
    <w:name w:val="Title"/>
    <w:next w:val="Style_5"/>
    <w:link w:val="Style_26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6_ch" w:type="character">
    <w:name w:val="Title"/>
    <w:link w:val="Style_26"/>
    <w:rPr>
      <w:rFonts w:ascii="XO Thames" w:hAnsi="XO Thames"/>
      <w:b w:val="1"/>
      <w:caps w:val="1"/>
      <w:sz w:val="40"/>
    </w:rPr>
  </w:style>
  <w:style w:styleId="Style_27" w:type="paragraph">
    <w:name w:val="heading 4"/>
    <w:next w:val="Style_5"/>
    <w:link w:val="Style_27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7_ch" w:type="character">
    <w:name w:val="heading 4"/>
    <w:link w:val="Style_27"/>
    <w:rPr>
      <w:rFonts w:ascii="XO Thames" w:hAnsi="XO Thames"/>
      <w:b w:val="1"/>
      <w:sz w:val="24"/>
    </w:rPr>
  </w:style>
  <w:style w:styleId="Style_28" w:type="paragraph">
    <w:name w:val="heading 2"/>
    <w:next w:val="Style_5"/>
    <w:link w:val="Style_28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8_ch" w:type="character">
    <w:name w:val="heading 2"/>
    <w:link w:val="Style_28"/>
    <w:rPr>
      <w:rFonts w:ascii="XO Thames" w:hAnsi="XO Thames"/>
      <w:b w:val="1"/>
      <w:sz w:val="28"/>
    </w:rPr>
  </w:style>
  <w:style w:styleId="Style_29" w:type="table">
    <w:name w:val="Table Grid"/>
    <w:basedOn w:val="Style_3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default="1" w:styleId="Style_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stylesWithEffects.xml" Type="http://schemas.microsoft.com/office/2007/relationships/stylesWithEffects"/>
  <Relationship Id="rId1" Target="footer1.xml" Type="http://schemas.openxmlformats.org/officeDocument/2006/relationships/footer"/>
  <Relationship Id="rId2" Target="footer2.xml" Type="http://schemas.openxmlformats.org/officeDocument/2006/relationships/footer"/>
  <Relationship Id="rId3" Target="fontTable.xml" Type="http://schemas.openxmlformats.org/officeDocument/2006/relationships/fontTable"/>
  <Relationship Id="rId8" Target="theme/theme1.xml" Type="http://schemas.openxmlformats.org/officeDocument/2006/relationships/theme"/>
  <Relationship Id="rId4" Target="settings.xml" Type="http://schemas.openxmlformats.org/officeDocument/2006/relationships/settings"/>
  <Relationship Id="rId7" Target="webSettings.xml" Type="http://schemas.openxmlformats.org/officeDocument/2006/relationships/webSettings"/>
  <Relationship Id="rId5" Target="styles.xml" Type="http://schemas.openxmlformats.org/officeDocument/2006/relationships/style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2024-09-09T08:23:18Z</dcterms:modified>
</cp:coreProperties>
</file>